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DF028C" w14:textId="77777777" w:rsidR="000A7B2B" w:rsidRPr="008D1740" w:rsidRDefault="00D922F0" w:rsidP="008D1740">
      <w:pPr>
        <w:pStyle w:val="NormalWeb"/>
        <w:spacing w:before="0" w:beforeAutospacing="0" w:after="120" w:afterAutospacing="0"/>
        <w:ind w:right="96"/>
        <w:jc w:val="center"/>
        <w:rPr>
          <w:b/>
          <w:bCs/>
          <w:color w:val="000000"/>
          <w:sz w:val="28"/>
          <w:szCs w:val="28"/>
        </w:rPr>
      </w:pPr>
      <w:r>
        <w:rPr>
          <w:b/>
          <w:bCs/>
          <w:color w:val="000000"/>
          <w:sz w:val="28"/>
          <w:szCs w:val="28"/>
        </w:rPr>
        <w:t xml:space="preserve">Efektivitas Pendekatan IAM </w:t>
      </w:r>
      <w:r w:rsidR="001D2DFD" w:rsidRPr="001D2DFD">
        <w:rPr>
          <w:b/>
          <w:bCs/>
          <w:color w:val="000000"/>
          <w:sz w:val="28"/>
          <w:szCs w:val="28"/>
        </w:rPr>
        <w:t>(</w:t>
      </w:r>
      <w:r w:rsidR="001D2DFD" w:rsidRPr="001D2DFD">
        <w:rPr>
          <w:b/>
          <w:bCs/>
          <w:i/>
          <w:iCs/>
          <w:color w:val="000000"/>
          <w:sz w:val="28"/>
          <w:szCs w:val="28"/>
        </w:rPr>
        <w:t>Inspired, Adopt, and Mignify</w:t>
      </w:r>
      <w:r w:rsidR="001D2DFD" w:rsidRPr="001D2DFD">
        <w:rPr>
          <w:b/>
          <w:bCs/>
          <w:color w:val="000000"/>
          <w:sz w:val="28"/>
          <w:szCs w:val="28"/>
        </w:rPr>
        <w:t>)</w:t>
      </w:r>
      <w:r w:rsidR="001D2DFD">
        <w:rPr>
          <w:color w:val="000000"/>
        </w:rPr>
        <w:t xml:space="preserve"> </w:t>
      </w:r>
      <w:r>
        <w:rPr>
          <w:b/>
          <w:bCs/>
          <w:color w:val="000000"/>
          <w:sz w:val="28"/>
          <w:szCs w:val="28"/>
        </w:rPr>
        <w:t>dalam Meningkatkan Kemampuan Reflektif Guru Sekolah Dasar</w:t>
      </w:r>
    </w:p>
    <w:p w14:paraId="42719DAF" w14:textId="32C401A3" w:rsidR="003F266C" w:rsidRPr="00D922F0" w:rsidRDefault="00D922F0" w:rsidP="00B82D52">
      <w:pPr>
        <w:pStyle w:val="NormalWeb"/>
        <w:spacing w:before="0" w:beforeAutospacing="0" w:after="120" w:afterAutospacing="0"/>
        <w:ind w:right="96"/>
        <w:jc w:val="center"/>
        <w:rPr>
          <w:vertAlign w:val="superscript"/>
        </w:rPr>
      </w:pPr>
      <w:r>
        <w:rPr>
          <w:b/>
          <w:bCs/>
          <w:color w:val="000000"/>
        </w:rPr>
        <w:t>Faisal</w:t>
      </w:r>
      <w:r w:rsidR="00537F50">
        <w:rPr>
          <w:b/>
          <w:bCs/>
          <w:color w:val="000000"/>
          <w:vertAlign w:val="superscript"/>
        </w:rPr>
        <w:t>1</w:t>
      </w:r>
      <w:r w:rsidR="00537F50">
        <w:rPr>
          <w:b/>
          <w:bCs/>
          <w:color w:val="000000"/>
        </w:rPr>
        <w:t xml:space="preserve">, </w:t>
      </w:r>
      <w:r>
        <w:rPr>
          <w:b/>
          <w:bCs/>
          <w:color w:val="000000"/>
        </w:rPr>
        <w:t>Masta Marselina Sembiring</w:t>
      </w:r>
      <w:r w:rsidR="00537F50">
        <w:rPr>
          <w:b/>
          <w:bCs/>
          <w:color w:val="000000"/>
          <w:vertAlign w:val="superscript"/>
        </w:rPr>
        <w:t>2</w:t>
      </w:r>
      <w:r w:rsidR="00F011AC">
        <w:rPr>
          <w:b/>
          <w:bCs/>
          <w:color w:val="000000"/>
        </w:rPr>
        <w:t>,</w:t>
      </w:r>
      <w:r w:rsidR="003F266C" w:rsidRPr="00011957">
        <w:rPr>
          <w:b/>
          <w:bCs/>
          <w:color w:val="000000"/>
        </w:rPr>
        <w:t xml:space="preserve"> </w:t>
      </w:r>
      <w:r>
        <w:rPr>
          <w:b/>
          <w:bCs/>
          <w:color w:val="000000"/>
        </w:rPr>
        <w:t>Edizal Hatmi</w:t>
      </w:r>
      <w:r w:rsidR="00537F50">
        <w:rPr>
          <w:b/>
          <w:bCs/>
          <w:color w:val="000000"/>
          <w:vertAlign w:val="superscript"/>
        </w:rPr>
        <w:t>3</w:t>
      </w:r>
      <w:r w:rsidR="00537F50">
        <w:rPr>
          <w:b/>
          <w:bCs/>
          <w:color w:val="000000"/>
        </w:rPr>
        <w:t xml:space="preserve">, </w:t>
      </w:r>
      <w:r>
        <w:rPr>
          <w:b/>
          <w:bCs/>
          <w:color w:val="000000"/>
        </w:rPr>
        <w:t>Stelly Martha Lova</w:t>
      </w:r>
      <w:r>
        <w:rPr>
          <w:b/>
          <w:bCs/>
          <w:color w:val="000000"/>
          <w:vertAlign w:val="superscript"/>
        </w:rPr>
        <w:t>4</w:t>
      </w:r>
    </w:p>
    <w:p w14:paraId="1BBB20E9" w14:textId="77777777" w:rsidR="00537F50" w:rsidRPr="008D1740" w:rsidRDefault="00537F50" w:rsidP="00946276">
      <w:pPr>
        <w:pStyle w:val="NormalWeb"/>
        <w:spacing w:before="0" w:beforeAutospacing="0" w:after="120" w:afterAutospacing="0"/>
        <w:ind w:right="96"/>
        <w:jc w:val="center"/>
        <w:rPr>
          <w:color w:val="000000"/>
          <w:sz w:val="22"/>
          <w:szCs w:val="22"/>
        </w:rPr>
      </w:pPr>
      <w:r w:rsidRPr="008D1740">
        <w:rPr>
          <w:color w:val="000000"/>
          <w:sz w:val="22"/>
          <w:szCs w:val="22"/>
          <w:vertAlign w:val="superscript"/>
        </w:rPr>
        <w:t>1</w:t>
      </w:r>
      <w:r w:rsidR="00D922F0">
        <w:rPr>
          <w:color w:val="000000"/>
          <w:sz w:val="22"/>
          <w:szCs w:val="22"/>
          <w:vertAlign w:val="superscript"/>
        </w:rPr>
        <w:t>,2,3,4</w:t>
      </w:r>
      <w:r w:rsidR="00D922F0">
        <w:rPr>
          <w:color w:val="000000"/>
          <w:sz w:val="22"/>
          <w:szCs w:val="22"/>
        </w:rPr>
        <w:t>Fakultas Ilmu Pendidikan, Universitas Negeri Medan</w:t>
      </w:r>
    </w:p>
    <w:p w14:paraId="74EA586B" w14:textId="3FF6E0CC" w:rsidR="003F266C" w:rsidRPr="008D1740" w:rsidRDefault="00537F50" w:rsidP="00B82D52">
      <w:pPr>
        <w:pStyle w:val="NormalWeb"/>
        <w:spacing w:before="0" w:beforeAutospacing="0" w:after="120" w:afterAutospacing="0"/>
        <w:ind w:right="96"/>
        <w:jc w:val="center"/>
        <w:rPr>
          <w:color w:val="000000"/>
          <w:sz w:val="22"/>
          <w:szCs w:val="22"/>
        </w:rPr>
      </w:pPr>
      <w:bookmarkStart w:id="0" w:name="_Hlk123328836"/>
      <w:bookmarkStart w:id="1" w:name="_Hlk114114845"/>
      <w:r w:rsidRPr="008D1740">
        <w:rPr>
          <w:i/>
          <w:iCs/>
          <w:color w:val="000000"/>
          <w:sz w:val="22"/>
          <w:szCs w:val="22"/>
        </w:rPr>
        <w:t>Corresponding Author</w:t>
      </w:r>
      <w:bookmarkEnd w:id="0"/>
      <w:r w:rsidRPr="008D1740">
        <w:rPr>
          <w:color w:val="000000"/>
          <w:sz w:val="22"/>
          <w:szCs w:val="22"/>
        </w:rPr>
        <w:t xml:space="preserve">: </w:t>
      </w:r>
      <w:bookmarkEnd w:id="1"/>
      <w:r w:rsidR="007A7CDC">
        <w:rPr>
          <w:color w:val="000000"/>
          <w:sz w:val="22"/>
          <w:szCs w:val="22"/>
        </w:rPr>
        <w:fldChar w:fldCharType="begin"/>
      </w:r>
      <w:r w:rsidR="007A7CDC">
        <w:rPr>
          <w:color w:val="000000"/>
          <w:sz w:val="22"/>
          <w:szCs w:val="22"/>
        </w:rPr>
        <w:instrText xml:space="preserve"> HYPERLINK "mailto:faisalpendas@gmail.com" </w:instrText>
      </w:r>
      <w:r w:rsidR="007A7CDC">
        <w:rPr>
          <w:color w:val="000000"/>
          <w:sz w:val="22"/>
          <w:szCs w:val="22"/>
        </w:rPr>
        <w:fldChar w:fldCharType="separate"/>
      </w:r>
      <w:r w:rsidR="007A7CDC" w:rsidRPr="008802C2">
        <w:rPr>
          <w:rStyle w:val="Hyperlink"/>
          <w:sz w:val="22"/>
          <w:szCs w:val="22"/>
        </w:rPr>
        <w:t>faisalpendas@gmail.com</w:t>
      </w:r>
      <w:r w:rsidR="007A7CDC">
        <w:rPr>
          <w:color w:val="000000"/>
          <w:sz w:val="22"/>
          <w:szCs w:val="22"/>
        </w:rPr>
        <w:fldChar w:fldCharType="end"/>
      </w:r>
      <w:r w:rsidR="007A7CDC">
        <w:rPr>
          <w:color w:val="000000"/>
          <w:sz w:val="22"/>
          <w:szCs w:val="22"/>
        </w:rPr>
        <w:t xml:space="preserve"> </w:t>
      </w:r>
    </w:p>
    <w:p w14:paraId="5D4EEF8A" w14:textId="77777777" w:rsidR="00560346" w:rsidRPr="00011957" w:rsidRDefault="00560346" w:rsidP="003F266C">
      <w:pPr>
        <w:spacing w:after="0" w:line="276" w:lineRule="auto"/>
        <w:ind w:right="-5"/>
        <w:rPr>
          <w:rFonts w:ascii="Times New Roman" w:eastAsia="Times New Roman" w:hAnsi="Times New Roman" w:cs="Times New Roman"/>
          <w:i/>
          <w:sz w:val="24"/>
          <w:szCs w:val="24"/>
          <w:lang w:val="en-US"/>
        </w:rPr>
      </w:pPr>
    </w:p>
    <w:tbl>
      <w:tblPr>
        <w:tblW w:w="9530" w:type="dxa"/>
        <w:tblLook w:val="04A0" w:firstRow="1" w:lastRow="0" w:firstColumn="1" w:lastColumn="0" w:noHBand="0" w:noVBand="1"/>
      </w:tblPr>
      <w:tblGrid>
        <w:gridCol w:w="6804"/>
        <w:gridCol w:w="2726"/>
      </w:tblGrid>
      <w:tr w:rsidR="00F011AC" w:rsidRPr="00011957" w14:paraId="4731FBC5" w14:textId="77777777" w:rsidTr="00F011AC">
        <w:tc>
          <w:tcPr>
            <w:tcW w:w="6804" w:type="dxa"/>
          </w:tcPr>
          <w:p w14:paraId="384865EA" w14:textId="4A02D007" w:rsidR="00762E64" w:rsidRPr="007A7CDC" w:rsidRDefault="00762E64" w:rsidP="00BC3F16">
            <w:pPr>
              <w:spacing w:after="0" w:line="240" w:lineRule="auto"/>
              <w:ind w:right="95"/>
              <w:jc w:val="both"/>
              <w:rPr>
                <w:rFonts w:ascii="Times New Roman" w:hAnsi="Times New Roman" w:cs="Times New Roman"/>
                <w:i/>
                <w:sz w:val="24"/>
                <w:szCs w:val="24"/>
                <w:lang w:val="en"/>
              </w:rPr>
            </w:pPr>
            <w:r w:rsidRPr="007A7CDC">
              <w:rPr>
                <w:rFonts w:ascii="Times New Roman" w:hAnsi="Times New Roman" w:cs="Times New Roman"/>
                <w:b/>
                <w:bCs/>
                <w:i/>
                <w:color w:val="000000"/>
                <w:sz w:val="24"/>
                <w:szCs w:val="24"/>
              </w:rPr>
              <w:t>Abstract</w:t>
            </w:r>
          </w:p>
          <w:p w14:paraId="30D1BFE0" w14:textId="77777777" w:rsidR="00805E51" w:rsidRDefault="00E4282F" w:rsidP="00F011AC">
            <w:pPr>
              <w:pStyle w:val="NormalWeb"/>
              <w:spacing w:before="0" w:beforeAutospacing="0" w:after="0" w:afterAutospacing="0"/>
              <w:ind w:right="-110"/>
              <w:jc w:val="both"/>
              <w:rPr>
                <w:i/>
                <w:color w:val="000000"/>
              </w:rPr>
            </w:pPr>
            <w:r w:rsidRPr="007A7CDC">
              <w:rPr>
                <w:i/>
                <w:color w:val="000000"/>
              </w:rPr>
              <w:t>This study aims to describe the effectiveness of the IAM (</w:t>
            </w:r>
            <w:r w:rsidRPr="007A7CDC">
              <w:rPr>
                <w:i/>
                <w:iCs/>
                <w:color w:val="000000"/>
              </w:rPr>
              <w:t>Inspired, Adopt, and Mignify</w:t>
            </w:r>
            <w:r w:rsidRPr="007A7CDC">
              <w:rPr>
                <w:i/>
                <w:color w:val="000000"/>
              </w:rPr>
              <w:t>) approach in improving the reflective ability of prospective elementary school teachers. This research is motivated by the low reflective ability of elementary school teacher education students as prospective teachers so there is a lack of continuous improvement in learning. This research is development research using the ADDIE (Analysis, D</w:t>
            </w:r>
            <w:r w:rsidR="000B1463" w:rsidRPr="007A7CDC">
              <w:rPr>
                <w:i/>
                <w:color w:val="000000"/>
              </w:rPr>
              <w:t>e</w:t>
            </w:r>
            <w:r w:rsidRPr="007A7CDC">
              <w:rPr>
                <w:i/>
                <w:color w:val="000000"/>
              </w:rPr>
              <w:t xml:space="preserve">fine, Design, Implementation, and Evaluation) model. The sample involved in the study was 10 people using the purpose sampling technique. Data collection techniques with questionnaires and using research instruments in the form of questionnaires. The data was analyzed quantitatively using scores and percentages, the results were narrated qualitatively using categories. The results of the effectiveness test research were obtained </w:t>
            </w:r>
            <w:r w:rsidR="000B1463" w:rsidRPr="007A7CDC">
              <w:rPr>
                <w:i/>
                <w:color w:val="000000"/>
              </w:rPr>
              <w:t>a</w:t>
            </w:r>
            <w:r w:rsidRPr="007A7CDC">
              <w:rPr>
                <w:i/>
                <w:color w:val="000000"/>
              </w:rPr>
              <w:t xml:space="preserve">n average of 4.63 with an achievement percentage of 92.50% and were in the Very Effective category. Thus, it can be concluded that the IAM approach is effective in improving the reflective ability of prospective teachers in elementary schools. </w:t>
            </w:r>
          </w:p>
          <w:p w14:paraId="12BD336B" w14:textId="1A61B10B" w:rsidR="00F011AC" w:rsidRPr="007A7CDC" w:rsidRDefault="00F011AC" w:rsidP="00F011AC">
            <w:pPr>
              <w:pStyle w:val="NormalWeb"/>
              <w:spacing w:before="0" w:beforeAutospacing="0" w:after="0" w:afterAutospacing="0"/>
              <w:ind w:right="-110"/>
              <w:jc w:val="both"/>
              <w:rPr>
                <w:i/>
              </w:rPr>
            </w:pPr>
          </w:p>
        </w:tc>
        <w:tc>
          <w:tcPr>
            <w:tcW w:w="2726" w:type="dxa"/>
          </w:tcPr>
          <w:p w14:paraId="7F6A4810" w14:textId="7103AEE1" w:rsidR="003C57CB" w:rsidRPr="007A7CDC" w:rsidRDefault="003C57CB" w:rsidP="008D1740">
            <w:pPr>
              <w:spacing w:after="0" w:line="240" w:lineRule="auto"/>
              <w:jc w:val="both"/>
              <w:rPr>
                <w:rFonts w:ascii="Times New Roman" w:eastAsia="Times New Roman" w:hAnsi="Times New Roman" w:cs="Times New Roman"/>
                <w:b/>
                <w:i/>
                <w:sz w:val="24"/>
                <w:szCs w:val="24"/>
                <w:lang w:val="en-US"/>
              </w:rPr>
            </w:pPr>
            <w:r w:rsidRPr="007A7CDC">
              <w:rPr>
                <w:rFonts w:ascii="Times New Roman" w:eastAsia="Times New Roman" w:hAnsi="Times New Roman" w:cs="Times New Roman"/>
                <w:b/>
                <w:i/>
                <w:sz w:val="24"/>
                <w:szCs w:val="24"/>
                <w:lang w:val="en-US"/>
              </w:rPr>
              <w:t>Article History</w:t>
            </w:r>
            <w:r w:rsidR="00F011AC">
              <w:rPr>
                <w:rFonts w:ascii="Times New Roman" w:eastAsia="Times New Roman" w:hAnsi="Times New Roman" w:cs="Times New Roman"/>
                <w:b/>
                <w:i/>
                <w:sz w:val="24"/>
                <w:szCs w:val="24"/>
                <w:lang w:val="en-US"/>
              </w:rPr>
              <w:t>:</w:t>
            </w:r>
          </w:p>
          <w:p w14:paraId="2B5B96DC" w14:textId="0750DEDF" w:rsidR="003C57CB" w:rsidRPr="007A7CDC" w:rsidRDefault="003C57CB" w:rsidP="008D1740">
            <w:pPr>
              <w:spacing w:after="0" w:line="240" w:lineRule="auto"/>
              <w:jc w:val="both"/>
              <w:rPr>
                <w:rFonts w:ascii="Times New Roman" w:eastAsia="Times New Roman" w:hAnsi="Times New Roman" w:cs="Times New Roman"/>
                <w:i/>
                <w:sz w:val="24"/>
                <w:szCs w:val="24"/>
                <w:lang w:val="en-US"/>
              </w:rPr>
            </w:pPr>
            <w:r w:rsidRPr="007A7CDC">
              <w:rPr>
                <w:rFonts w:ascii="Times New Roman" w:eastAsia="Times New Roman" w:hAnsi="Times New Roman" w:cs="Times New Roman"/>
                <w:i/>
                <w:sz w:val="24"/>
                <w:szCs w:val="24"/>
                <w:lang w:val="en-US"/>
              </w:rPr>
              <w:t>Received:</w:t>
            </w:r>
            <w:r w:rsidR="005E3488" w:rsidRPr="007A7CDC">
              <w:rPr>
                <w:rFonts w:ascii="Times New Roman" w:eastAsia="Times New Roman" w:hAnsi="Times New Roman" w:cs="Times New Roman"/>
                <w:i/>
                <w:sz w:val="24"/>
                <w:szCs w:val="24"/>
                <w:lang w:val="en-US"/>
              </w:rPr>
              <w:t xml:space="preserve"> </w:t>
            </w:r>
            <w:r w:rsidR="00F011AC">
              <w:rPr>
                <w:rFonts w:ascii="Times New Roman" w:eastAsia="Times New Roman" w:hAnsi="Times New Roman" w:cs="Times New Roman"/>
                <w:i/>
                <w:sz w:val="24"/>
                <w:szCs w:val="24"/>
                <w:lang w:val="en-US"/>
              </w:rPr>
              <w:t>2024-09-09</w:t>
            </w:r>
            <w:r w:rsidRPr="007A7CDC">
              <w:rPr>
                <w:rFonts w:ascii="Times New Roman" w:eastAsia="Times New Roman" w:hAnsi="Times New Roman" w:cs="Times New Roman"/>
                <w:i/>
                <w:color w:val="FFFFFF"/>
                <w:sz w:val="24"/>
                <w:szCs w:val="24"/>
                <w:lang w:val="en-US"/>
              </w:rPr>
              <w:t>J</w:t>
            </w:r>
          </w:p>
          <w:p w14:paraId="73B731F0" w14:textId="4ABD6F98" w:rsidR="003C57CB" w:rsidRPr="007A7CDC" w:rsidRDefault="003C57CB" w:rsidP="008D1740">
            <w:pPr>
              <w:spacing w:after="0" w:line="240" w:lineRule="auto"/>
              <w:rPr>
                <w:rFonts w:ascii="Times New Roman" w:eastAsia="Times New Roman" w:hAnsi="Times New Roman" w:cs="Times New Roman"/>
                <w:i/>
                <w:sz w:val="24"/>
                <w:szCs w:val="24"/>
                <w:lang w:val="en-US"/>
              </w:rPr>
            </w:pPr>
            <w:r w:rsidRPr="007A7CDC">
              <w:rPr>
                <w:rFonts w:ascii="Times New Roman" w:eastAsia="Times New Roman" w:hAnsi="Times New Roman" w:cs="Times New Roman"/>
                <w:i/>
                <w:sz w:val="24"/>
                <w:szCs w:val="24"/>
                <w:lang w:val="en-US"/>
              </w:rPr>
              <w:t>Reviewed:</w:t>
            </w:r>
            <w:r w:rsidR="00F011AC">
              <w:rPr>
                <w:rFonts w:ascii="Times New Roman" w:eastAsia="Times New Roman" w:hAnsi="Times New Roman" w:cs="Times New Roman"/>
                <w:i/>
                <w:sz w:val="24"/>
                <w:szCs w:val="24"/>
                <w:lang w:val="en-US"/>
              </w:rPr>
              <w:t>2024-09-14</w:t>
            </w:r>
            <w:r w:rsidR="00762E64" w:rsidRPr="007A7CDC">
              <w:rPr>
                <w:rFonts w:ascii="Times New Roman" w:eastAsia="Times New Roman" w:hAnsi="Times New Roman" w:cs="Times New Roman"/>
                <w:i/>
                <w:sz w:val="24"/>
                <w:szCs w:val="24"/>
                <w:lang w:val="en-US"/>
              </w:rPr>
              <w:t xml:space="preserve"> </w:t>
            </w:r>
            <w:r w:rsidRPr="007A7CDC">
              <w:rPr>
                <w:rFonts w:ascii="Times New Roman" w:eastAsia="Times New Roman" w:hAnsi="Times New Roman" w:cs="Times New Roman"/>
                <w:i/>
                <w:sz w:val="24"/>
                <w:szCs w:val="24"/>
                <w:lang w:val="en-US"/>
              </w:rPr>
              <w:t>Published:</w:t>
            </w:r>
            <w:r w:rsidR="00F011AC">
              <w:rPr>
                <w:rFonts w:ascii="Times New Roman" w:eastAsia="Times New Roman" w:hAnsi="Times New Roman" w:cs="Times New Roman"/>
                <w:i/>
                <w:sz w:val="24"/>
                <w:szCs w:val="24"/>
                <w:lang w:val="en-US"/>
              </w:rPr>
              <w:t>2024-09-30</w:t>
            </w:r>
          </w:p>
          <w:p w14:paraId="5603B0FB" w14:textId="77777777" w:rsidR="003C57CB" w:rsidRPr="007A7CDC" w:rsidRDefault="003C57CB" w:rsidP="008D1740">
            <w:pPr>
              <w:spacing w:after="0" w:line="240" w:lineRule="auto"/>
              <w:jc w:val="both"/>
              <w:rPr>
                <w:rFonts w:ascii="Times New Roman" w:eastAsia="Times New Roman" w:hAnsi="Times New Roman" w:cs="Times New Roman"/>
                <w:b/>
                <w:i/>
                <w:sz w:val="24"/>
                <w:szCs w:val="24"/>
                <w:lang w:val="en-US"/>
              </w:rPr>
            </w:pPr>
          </w:p>
          <w:p w14:paraId="66A9837E" w14:textId="3558E0FB" w:rsidR="003C57CB" w:rsidRPr="007A7CDC" w:rsidRDefault="003C57CB" w:rsidP="008D1740">
            <w:pPr>
              <w:spacing w:after="0" w:line="240" w:lineRule="auto"/>
              <w:jc w:val="both"/>
              <w:rPr>
                <w:rFonts w:ascii="Times New Roman" w:eastAsia="Times New Roman" w:hAnsi="Times New Roman" w:cs="Times New Roman"/>
                <w:b/>
                <w:i/>
                <w:sz w:val="24"/>
                <w:szCs w:val="24"/>
                <w:lang w:val="en-US"/>
              </w:rPr>
            </w:pPr>
            <w:r w:rsidRPr="007A7CDC">
              <w:rPr>
                <w:rFonts w:ascii="Times New Roman" w:eastAsia="Times New Roman" w:hAnsi="Times New Roman" w:cs="Times New Roman"/>
                <w:b/>
                <w:i/>
                <w:sz w:val="24"/>
                <w:szCs w:val="24"/>
                <w:lang w:val="en-US"/>
              </w:rPr>
              <w:t>Key</w:t>
            </w:r>
            <w:r w:rsidR="006C1E7B" w:rsidRPr="007A7CDC">
              <w:rPr>
                <w:rFonts w:ascii="Times New Roman" w:eastAsia="Times New Roman" w:hAnsi="Times New Roman" w:cs="Times New Roman"/>
                <w:b/>
                <w:i/>
                <w:sz w:val="24"/>
                <w:szCs w:val="24"/>
                <w:lang w:val="en-US"/>
              </w:rPr>
              <w:t>w</w:t>
            </w:r>
            <w:r w:rsidRPr="007A7CDC">
              <w:rPr>
                <w:rFonts w:ascii="Times New Roman" w:eastAsia="Times New Roman" w:hAnsi="Times New Roman" w:cs="Times New Roman"/>
                <w:b/>
                <w:i/>
                <w:sz w:val="24"/>
                <w:szCs w:val="24"/>
                <w:lang w:val="en-US"/>
              </w:rPr>
              <w:t>ords</w:t>
            </w:r>
            <w:r w:rsidR="00F011AC">
              <w:rPr>
                <w:rFonts w:ascii="Times New Roman" w:eastAsia="Times New Roman" w:hAnsi="Times New Roman" w:cs="Times New Roman"/>
                <w:b/>
                <w:i/>
                <w:sz w:val="24"/>
                <w:szCs w:val="24"/>
                <w:lang w:val="en-US"/>
              </w:rPr>
              <w:t>:</w:t>
            </w:r>
          </w:p>
          <w:p w14:paraId="2DE50D0A" w14:textId="4672BB1E" w:rsidR="00935575" w:rsidRPr="007A7CDC" w:rsidRDefault="00910038" w:rsidP="008D1740">
            <w:pPr>
              <w:spacing w:after="0" w:line="240" w:lineRule="auto"/>
              <w:jc w:val="both"/>
              <w:rPr>
                <w:rFonts w:ascii="Times New Roman" w:hAnsi="Times New Roman" w:cs="Times New Roman"/>
                <w:i/>
                <w:sz w:val="24"/>
                <w:szCs w:val="24"/>
                <w:lang w:val="en-US"/>
              </w:rPr>
            </w:pPr>
            <w:r w:rsidRPr="007A7CDC">
              <w:rPr>
                <w:rFonts w:ascii="Times New Roman" w:hAnsi="Times New Roman" w:cs="Times New Roman"/>
                <w:i/>
                <w:color w:val="000000"/>
                <w:sz w:val="24"/>
                <w:szCs w:val="24"/>
              </w:rPr>
              <w:t xml:space="preserve">IAM approach, reflective ability, inspiring learning, learning innovation </w:t>
            </w:r>
          </w:p>
        </w:tc>
      </w:tr>
      <w:tr w:rsidR="00F011AC" w:rsidRPr="00011957" w14:paraId="223AB7EE" w14:textId="77777777" w:rsidTr="00F011AC">
        <w:tc>
          <w:tcPr>
            <w:tcW w:w="6804" w:type="dxa"/>
          </w:tcPr>
          <w:p w14:paraId="639484D0" w14:textId="48F27A77" w:rsidR="001734E9" w:rsidRPr="008D1740" w:rsidRDefault="001734E9" w:rsidP="00BC3F16">
            <w:pPr>
              <w:spacing w:after="0" w:line="240" w:lineRule="auto"/>
              <w:ind w:right="95"/>
              <w:jc w:val="both"/>
              <w:rPr>
                <w:rFonts w:ascii="Times New Roman" w:hAnsi="Times New Roman" w:cs="Times New Roman"/>
                <w:i/>
                <w:sz w:val="24"/>
                <w:szCs w:val="24"/>
                <w:lang w:val="en-US"/>
              </w:rPr>
            </w:pPr>
            <w:r w:rsidRPr="008D1740">
              <w:rPr>
                <w:rFonts w:ascii="Times New Roman" w:hAnsi="Times New Roman" w:cs="Times New Roman"/>
                <w:b/>
                <w:bCs/>
                <w:color w:val="000000"/>
                <w:sz w:val="24"/>
                <w:szCs w:val="24"/>
              </w:rPr>
              <w:t>Abstrak</w:t>
            </w:r>
          </w:p>
          <w:p w14:paraId="56FE3286" w14:textId="1479B7EC" w:rsidR="001734E9" w:rsidRPr="008D1740" w:rsidRDefault="001D2DFD" w:rsidP="00BC3F16">
            <w:pPr>
              <w:pStyle w:val="NormalWeb"/>
              <w:spacing w:before="0" w:beforeAutospacing="0" w:after="0" w:afterAutospacing="0"/>
              <w:ind w:right="-108"/>
              <w:jc w:val="both"/>
            </w:pPr>
            <w:r>
              <w:rPr>
                <w:color w:val="000000"/>
              </w:rPr>
              <w:t>Penelitian ini bertujuan untuk mendeskripsikan efektivitas pendekatan IAM (</w:t>
            </w:r>
            <w:r w:rsidRPr="001D2DFD">
              <w:rPr>
                <w:i/>
                <w:iCs/>
                <w:color w:val="000000"/>
              </w:rPr>
              <w:t>Inspired, Adopt, and Mignify</w:t>
            </w:r>
            <w:r>
              <w:rPr>
                <w:color w:val="000000"/>
              </w:rPr>
              <w:t xml:space="preserve">) dalam meningkatkan kemampuan reflektif calon guru sekolah dasar. </w:t>
            </w:r>
            <w:r w:rsidR="002F5E12">
              <w:rPr>
                <w:color w:val="000000"/>
              </w:rPr>
              <w:t>Penelitian ini dilatarbelakangi oleh rendahnya kemampuan reflektif mahasiswa pendidikan guru sekolah dasar sebagai calon guru sehingga minim perbaikan berkelanjutan dalam pembelajaran. Penelitian ini merupakan penelitian pengembangan dengan menggunakan model ADDIE (</w:t>
            </w:r>
            <w:r w:rsidR="002F5E12" w:rsidRPr="000B1463">
              <w:rPr>
                <w:i/>
                <w:iCs/>
                <w:color w:val="000000"/>
              </w:rPr>
              <w:t>Analysis, D</w:t>
            </w:r>
            <w:r w:rsidR="000B1463" w:rsidRPr="000B1463">
              <w:rPr>
                <w:i/>
                <w:iCs/>
                <w:color w:val="000000"/>
              </w:rPr>
              <w:t>e</w:t>
            </w:r>
            <w:r w:rsidR="002F5E12" w:rsidRPr="000B1463">
              <w:rPr>
                <w:i/>
                <w:iCs/>
                <w:color w:val="000000"/>
              </w:rPr>
              <w:t>fine, Design, Implementation, and Evaluation</w:t>
            </w:r>
            <w:r w:rsidR="002F5E12">
              <w:rPr>
                <w:color w:val="000000"/>
              </w:rPr>
              <w:t xml:space="preserve">). Sampel yang terlibat dalam penelitian ada 10 orang dengan menggunakan teknik </w:t>
            </w:r>
            <w:r w:rsidR="002F5E12" w:rsidRPr="00F011AC">
              <w:rPr>
                <w:i/>
                <w:iCs/>
                <w:color w:val="000000"/>
              </w:rPr>
              <w:t>purpose sampling</w:t>
            </w:r>
            <w:r w:rsidR="002F5E12">
              <w:rPr>
                <w:color w:val="000000"/>
              </w:rPr>
              <w:t xml:space="preserve">. Teknik pengumpulan data </w:t>
            </w:r>
            <w:r w:rsidR="00E4282F">
              <w:rPr>
                <w:color w:val="000000"/>
              </w:rPr>
              <w:t>dengan kuesioner dan menggunakan i</w:t>
            </w:r>
            <w:r w:rsidR="002F5E12">
              <w:rPr>
                <w:color w:val="000000"/>
              </w:rPr>
              <w:t xml:space="preserve">nstrumen </w:t>
            </w:r>
            <w:r w:rsidR="00E4282F">
              <w:rPr>
                <w:color w:val="000000"/>
              </w:rPr>
              <w:t>penelitian dalam bentuk</w:t>
            </w:r>
            <w:r w:rsidR="002F5E12">
              <w:rPr>
                <w:color w:val="000000"/>
              </w:rPr>
              <w:t xml:space="preserve"> angket. Data dianalisis secara kuantitatif menggunakan skor </w:t>
            </w:r>
            <w:r w:rsidR="00E4282F">
              <w:rPr>
                <w:color w:val="000000"/>
              </w:rPr>
              <w:t>dan persentase,</w:t>
            </w:r>
            <w:r w:rsidR="002F5E12">
              <w:rPr>
                <w:color w:val="000000"/>
              </w:rPr>
              <w:t xml:space="preserve"> </w:t>
            </w:r>
            <w:r w:rsidR="00E4282F">
              <w:rPr>
                <w:color w:val="000000"/>
              </w:rPr>
              <w:t xml:space="preserve">hasilnya </w:t>
            </w:r>
            <w:r w:rsidR="002F5E12">
              <w:rPr>
                <w:color w:val="000000"/>
              </w:rPr>
              <w:t xml:space="preserve">dinarasikan secara kualitatif </w:t>
            </w:r>
            <w:r w:rsidR="00E4282F">
              <w:rPr>
                <w:color w:val="000000"/>
              </w:rPr>
              <w:t xml:space="preserve">menggunakan kategori. Hasil penelitian uji efektivitas diperoleh rata-rata sebesar 4.63 dengan persentase capaian 92.50% dan berada pada kategori Sangat Efektif. Dengan demikian, dapat disimpulkan bahwa pendekatan IAM efektif digunakan dalam meningkatkan kemampuan reflektif calon guru di sekolah dasar. </w:t>
            </w:r>
          </w:p>
          <w:p w14:paraId="70E529AD" w14:textId="6608A442" w:rsidR="00D62EDF" w:rsidRPr="008D1740" w:rsidRDefault="00772ADB" w:rsidP="00BC3F16">
            <w:pPr>
              <w:spacing w:after="0" w:line="240" w:lineRule="auto"/>
              <w:ind w:right="95"/>
              <w:jc w:val="both"/>
              <w:rPr>
                <w:rFonts w:ascii="Times New Roman" w:hAnsi="Times New Roman" w:cs="Times New Roman"/>
                <w:bCs/>
                <w:sz w:val="24"/>
                <w:szCs w:val="24"/>
                <w:lang w:val="en-US"/>
              </w:rPr>
            </w:pPr>
            <w:r w:rsidRPr="008D1740">
              <w:rPr>
                <w:rFonts w:ascii="Times New Roman" w:hAnsi="Times New Roman" w:cs="Times New Roman"/>
                <w:b/>
                <w:bCs/>
                <w:noProof/>
                <w:color w:val="000000"/>
                <w:sz w:val="24"/>
                <w:szCs w:val="24"/>
                <w:lang w:val="en-US"/>
              </w:rPr>
              <mc:AlternateContent>
                <mc:Choice Requires="wps">
                  <w:drawing>
                    <wp:anchor distT="0" distB="0" distL="114300" distR="114300" simplePos="0" relativeHeight="251658240" behindDoc="0" locked="0" layoutInCell="1" allowOverlap="1" wp14:anchorId="34D08CF4" wp14:editId="6DD5E316">
                      <wp:simplePos x="0" y="0"/>
                      <wp:positionH relativeFrom="column">
                        <wp:posOffset>-24765</wp:posOffset>
                      </wp:positionH>
                      <wp:positionV relativeFrom="paragraph">
                        <wp:posOffset>113030</wp:posOffset>
                      </wp:positionV>
                      <wp:extent cx="5760720" cy="0"/>
                      <wp:effectExtent l="13335" t="17780" r="17145" b="10795"/>
                      <wp:wrapNone/>
                      <wp:docPr id="12834815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straightConnector1">
                                <a:avLst/>
                              </a:prstGeom>
                              <a:noFill/>
                              <a:ln w="19050">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8F361F" id="_x0000_t32" coordsize="21600,21600" o:spt="32" o:oned="t" path="m,l21600,21600e" filled="f">
                      <v:path arrowok="t" fillok="f" o:connecttype="none"/>
                      <o:lock v:ext="edit" shapetype="t"/>
                    </v:shapetype>
                    <v:shape id="AutoShape 7" o:spid="_x0000_s1026" type="#_x0000_t32" style="position:absolute;margin-left:-1.95pt;margin-top:8.9pt;width:453.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" strokecolor="#4472c4" strokeweight="1.5pt">
                      <v:shadow color="#1f4d78" opacity=".5" offset="1pt"/>
                    </v:shape>
                  </w:pict>
                </mc:Fallback>
              </mc:AlternateContent>
            </w:r>
          </w:p>
        </w:tc>
        <w:tc>
          <w:tcPr>
            <w:tcW w:w="2726" w:type="dxa"/>
          </w:tcPr>
          <w:p w14:paraId="227CBA60" w14:textId="2DBBBEBF"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r w:rsidRPr="008D1740">
              <w:rPr>
                <w:rFonts w:ascii="Times New Roman" w:eastAsia="Times New Roman" w:hAnsi="Times New Roman" w:cs="Times New Roman"/>
                <w:b/>
                <w:sz w:val="24"/>
                <w:szCs w:val="24"/>
                <w:lang w:val="en-US"/>
              </w:rPr>
              <w:t>Sejarah Artikel</w:t>
            </w:r>
            <w:r w:rsidR="00F011AC">
              <w:rPr>
                <w:rFonts w:ascii="Times New Roman" w:eastAsia="Times New Roman" w:hAnsi="Times New Roman" w:cs="Times New Roman"/>
                <w:b/>
                <w:sz w:val="24"/>
                <w:szCs w:val="24"/>
                <w:lang w:val="en-US"/>
              </w:rPr>
              <w:t>:</w:t>
            </w:r>
          </w:p>
          <w:p w14:paraId="2606B757" w14:textId="0A4E486D" w:rsidR="003A46C1" w:rsidRPr="00F011AC" w:rsidRDefault="00B3680E" w:rsidP="008D1740">
            <w:pPr>
              <w:spacing w:after="0" w:line="240" w:lineRule="auto"/>
              <w:jc w:val="both"/>
              <w:rPr>
                <w:rFonts w:ascii="Times New Roman" w:eastAsia="Times New Roman" w:hAnsi="Times New Roman" w:cs="Times New Roman"/>
                <w:color w:val="000000" w:themeColor="text1"/>
                <w:sz w:val="24"/>
                <w:szCs w:val="24"/>
                <w:lang w:val="en-US"/>
              </w:rPr>
            </w:pPr>
            <w:r w:rsidRPr="008D1740">
              <w:rPr>
                <w:rFonts w:ascii="Times New Roman" w:eastAsia="Times New Roman" w:hAnsi="Times New Roman" w:cs="Times New Roman"/>
                <w:sz w:val="24"/>
                <w:szCs w:val="24"/>
                <w:lang w:val="en-US"/>
              </w:rPr>
              <w:t>D</w:t>
            </w:r>
            <w:r w:rsidR="003C57CB" w:rsidRPr="008D1740">
              <w:rPr>
                <w:rFonts w:ascii="Times New Roman" w:eastAsia="Times New Roman" w:hAnsi="Times New Roman" w:cs="Times New Roman"/>
                <w:sz w:val="24"/>
                <w:szCs w:val="24"/>
                <w:lang w:val="en-US"/>
              </w:rPr>
              <w:t>iterima:</w:t>
            </w:r>
            <w:r w:rsidR="00A10014" w:rsidRPr="008D1740">
              <w:rPr>
                <w:rFonts w:ascii="Times New Roman" w:eastAsia="Times New Roman" w:hAnsi="Times New Roman" w:cs="Times New Roman"/>
                <w:sz w:val="24"/>
                <w:szCs w:val="24"/>
                <w:lang w:val="en-US"/>
              </w:rPr>
              <w:t xml:space="preserve"> </w:t>
            </w:r>
            <w:r w:rsidR="00F011AC">
              <w:rPr>
                <w:rFonts w:ascii="Times New Roman" w:eastAsia="Times New Roman" w:hAnsi="Times New Roman" w:cs="Times New Roman"/>
                <w:sz w:val="24"/>
                <w:szCs w:val="24"/>
                <w:lang w:val="en-US"/>
              </w:rPr>
              <w:t>2024-09-09</w:t>
            </w:r>
          </w:p>
          <w:p w14:paraId="6AB43C80" w14:textId="71BB3939" w:rsidR="003C57CB" w:rsidRPr="00F011AC" w:rsidRDefault="00A35578" w:rsidP="008D1740">
            <w:pPr>
              <w:spacing w:after="0" w:line="240" w:lineRule="auto"/>
              <w:jc w:val="both"/>
              <w:rPr>
                <w:rFonts w:ascii="Times New Roman" w:eastAsia="Times New Roman" w:hAnsi="Times New Roman" w:cs="Times New Roman"/>
                <w:color w:val="000000" w:themeColor="text1"/>
                <w:sz w:val="24"/>
                <w:szCs w:val="24"/>
                <w:lang w:val="en-US"/>
              </w:rPr>
            </w:pPr>
            <w:r w:rsidRPr="00F011AC">
              <w:rPr>
                <w:rFonts w:ascii="Times New Roman" w:eastAsia="Times New Roman" w:hAnsi="Times New Roman" w:cs="Times New Roman"/>
                <w:color w:val="000000" w:themeColor="text1"/>
                <w:sz w:val="24"/>
                <w:szCs w:val="24"/>
                <w:lang w:val="en-US"/>
              </w:rPr>
              <w:t>D</w:t>
            </w:r>
            <w:r w:rsidR="003C57CB" w:rsidRPr="00F011AC">
              <w:rPr>
                <w:rFonts w:ascii="Times New Roman" w:eastAsia="Times New Roman" w:hAnsi="Times New Roman" w:cs="Times New Roman"/>
                <w:color w:val="000000" w:themeColor="text1"/>
                <w:sz w:val="24"/>
                <w:szCs w:val="24"/>
                <w:lang w:val="en-US"/>
              </w:rPr>
              <w:t>ireview:</w:t>
            </w:r>
            <w:r w:rsidR="00CA5E87" w:rsidRPr="00F011AC">
              <w:rPr>
                <w:rFonts w:ascii="Times New Roman" w:eastAsia="Times New Roman" w:hAnsi="Times New Roman" w:cs="Times New Roman"/>
                <w:color w:val="000000" w:themeColor="text1"/>
                <w:sz w:val="24"/>
                <w:szCs w:val="24"/>
                <w:lang w:val="en-US"/>
              </w:rPr>
              <w:t xml:space="preserve"> </w:t>
            </w:r>
            <w:r w:rsidR="00F011AC" w:rsidRPr="00F011AC">
              <w:rPr>
                <w:rFonts w:ascii="Times New Roman" w:eastAsia="Times New Roman" w:hAnsi="Times New Roman" w:cs="Times New Roman"/>
                <w:color w:val="000000" w:themeColor="text1"/>
                <w:sz w:val="24"/>
                <w:szCs w:val="24"/>
                <w:lang w:val="en-US"/>
              </w:rPr>
              <w:t>2024-09-14</w:t>
            </w:r>
          </w:p>
          <w:p w14:paraId="1F81E7AC" w14:textId="605326C8" w:rsidR="003C57CB" w:rsidRPr="008D1740" w:rsidRDefault="00A35578" w:rsidP="008D1740">
            <w:pPr>
              <w:spacing w:after="0" w:line="240" w:lineRule="auto"/>
              <w:jc w:val="both"/>
              <w:rPr>
                <w:rFonts w:ascii="Times New Roman" w:eastAsia="Times New Roman" w:hAnsi="Times New Roman" w:cs="Times New Roman"/>
                <w:sz w:val="24"/>
                <w:szCs w:val="24"/>
                <w:lang w:val="en-US"/>
              </w:rPr>
            </w:pPr>
            <w:r w:rsidRPr="008D1740">
              <w:rPr>
                <w:rFonts w:ascii="Times New Roman" w:eastAsia="Times New Roman" w:hAnsi="Times New Roman" w:cs="Times New Roman"/>
                <w:sz w:val="24"/>
                <w:szCs w:val="24"/>
                <w:lang w:val="en-US"/>
              </w:rPr>
              <w:t>D</w:t>
            </w:r>
            <w:r w:rsidR="003C57CB" w:rsidRPr="008D1740">
              <w:rPr>
                <w:rFonts w:ascii="Times New Roman" w:eastAsia="Times New Roman" w:hAnsi="Times New Roman" w:cs="Times New Roman"/>
                <w:sz w:val="24"/>
                <w:szCs w:val="24"/>
                <w:lang w:val="en-US"/>
              </w:rPr>
              <w:t>isetujui:</w:t>
            </w:r>
            <w:r w:rsidR="008D1740">
              <w:rPr>
                <w:rFonts w:ascii="Times New Roman" w:eastAsia="Times New Roman" w:hAnsi="Times New Roman" w:cs="Times New Roman"/>
                <w:sz w:val="24"/>
                <w:szCs w:val="24"/>
                <w:lang w:val="en-US"/>
              </w:rPr>
              <w:t xml:space="preserve"> </w:t>
            </w:r>
            <w:r w:rsidR="00F011AC">
              <w:rPr>
                <w:rFonts w:ascii="Times New Roman" w:eastAsia="Times New Roman" w:hAnsi="Times New Roman" w:cs="Times New Roman"/>
                <w:sz w:val="24"/>
                <w:szCs w:val="24"/>
                <w:lang w:val="en-US"/>
              </w:rPr>
              <w:t>2024-09-30</w:t>
            </w:r>
            <w:r w:rsidR="003A46C1" w:rsidRPr="008D1740">
              <w:rPr>
                <w:rFonts w:ascii="Times New Roman" w:eastAsia="Times New Roman" w:hAnsi="Times New Roman" w:cs="Times New Roman"/>
                <w:color w:val="FFFFFF"/>
                <w:sz w:val="24"/>
                <w:szCs w:val="24"/>
                <w:lang w:val="en-US"/>
              </w:rPr>
              <w:t xml:space="preserve"> </w:t>
            </w:r>
            <w:r w:rsidR="003C57CB" w:rsidRPr="008D1740">
              <w:rPr>
                <w:rFonts w:ascii="Times New Roman" w:eastAsia="Times New Roman" w:hAnsi="Times New Roman" w:cs="Times New Roman"/>
                <w:color w:val="FFFFFF"/>
                <w:sz w:val="24"/>
                <w:szCs w:val="24"/>
                <w:lang w:val="en-US"/>
              </w:rPr>
              <w:t>7</w:t>
            </w:r>
          </w:p>
          <w:p w14:paraId="55A17DE9" w14:textId="77777777"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p>
          <w:p w14:paraId="2F6837FA" w14:textId="16917CC2" w:rsidR="003C57CB" w:rsidRPr="008D1740" w:rsidRDefault="003C57CB" w:rsidP="008D1740">
            <w:pPr>
              <w:spacing w:after="0" w:line="240" w:lineRule="auto"/>
              <w:jc w:val="both"/>
              <w:rPr>
                <w:rFonts w:ascii="Times New Roman" w:eastAsia="Times New Roman" w:hAnsi="Times New Roman" w:cs="Times New Roman"/>
                <w:b/>
                <w:sz w:val="24"/>
                <w:szCs w:val="24"/>
                <w:lang w:val="en-US"/>
              </w:rPr>
            </w:pPr>
            <w:r w:rsidRPr="008D1740">
              <w:rPr>
                <w:rFonts w:ascii="Times New Roman" w:eastAsia="Times New Roman" w:hAnsi="Times New Roman" w:cs="Times New Roman"/>
                <w:b/>
                <w:sz w:val="24"/>
                <w:szCs w:val="24"/>
                <w:lang w:val="en-US"/>
              </w:rPr>
              <w:t>Kata Kunci</w:t>
            </w:r>
            <w:r w:rsidR="00F011AC">
              <w:rPr>
                <w:rFonts w:ascii="Times New Roman" w:eastAsia="Times New Roman" w:hAnsi="Times New Roman" w:cs="Times New Roman"/>
                <w:b/>
                <w:sz w:val="24"/>
                <w:szCs w:val="24"/>
                <w:lang w:val="en-US"/>
              </w:rPr>
              <w:t>:</w:t>
            </w:r>
          </w:p>
          <w:p w14:paraId="4C382D9D" w14:textId="50319D05" w:rsidR="000710CD" w:rsidRPr="008D1740" w:rsidRDefault="00F011AC" w:rsidP="008D1740">
            <w:pPr>
              <w:spacing w:after="0" w:line="240" w:lineRule="auto"/>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P</w:t>
            </w:r>
            <w:r w:rsidR="00910038">
              <w:rPr>
                <w:rFonts w:ascii="Times New Roman" w:hAnsi="Times New Roman" w:cs="Times New Roman"/>
                <w:color w:val="000000"/>
                <w:sz w:val="24"/>
                <w:szCs w:val="24"/>
                <w:lang w:val="en-US"/>
              </w:rPr>
              <w:t>endekatan IAM, kemampuan reflektif, pembelajaran menginspirasi, inovasi pembelajaran</w:t>
            </w:r>
          </w:p>
        </w:tc>
      </w:tr>
    </w:tbl>
    <w:p w14:paraId="41AEDB69" w14:textId="77777777" w:rsidR="00BB331A" w:rsidRPr="00011957" w:rsidRDefault="00BB331A" w:rsidP="007452AA">
      <w:pPr>
        <w:shd w:val="clear" w:color="auto" w:fill="FFFFFF"/>
        <w:spacing w:after="0" w:line="240" w:lineRule="auto"/>
        <w:jc w:val="both"/>
        <w:rPr>
          <w:rFonts w:ascii="Times New Roman" w:eastAsia="Times New Roman" w:hAnsi="Times New Roman" w:cs="Times New Roman"/>
          <w:b/>
          <w:color w:val="000000"/>
          <w:sz w:val="24"/>
          <w:szCs w:val="24"/>
        </w:rPr>
        <w:sectPr w:rsidR="00BB331A" w:rsidRPr="00011957" w:rsidSect="00F011A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845" w:footer="709" w:gutter="0"/>
          <w:pgNumType w:start="283"/>
          <w:cols w:space="282"/>
          <w:titlePg/>
          <w:docGrid w:linePitch="299"/>
        </w:sectPr>
      </w:pPr>
    </w:p>
    <w:p w14:paraId="6C241C97" w14:textId="6BCAF0EC" w:rsidR="007452AA" w:rsidRPr="00011957" w:rsidRDefault="00402CF3" w:rsidP="0015514D">
      <w:pPr>
        <w:shd w:val="clear" w:color="auto" w:fill="FFFFFF"/>
        <w:spacing w:after="0" w:line="276" w:lineRule="auto"/>
        <w:jc w:val="both"/>
        <w:rPr>
          <w:rFonts w:ascii="Times New Roman" w:eastAsia="Times New Roman" w:hAnsi="Times New Roman" w:cs="Times New Roman"/>
          <w:b/>
          <w:bCs/>
          <w:color w:val="000000"/>
          <w:sz w:val="24"/>
          <w:szCs w:val="24"/>
          <w:lang w:val="en-US"/>
        </w:rPr>
      </w:pPr>
      <w:r w:rsidRPr="00011957">
        <w:rPr>
          <w:rFonts w:ascii="Times New Roman" w:eastAsia="Times New Roman" w:hAnsi="Times New Roman" w:cs="Times New Roman"/>
          <w:b/>
          <w:color w:val="000000"/>
          <w:sz w:val="24"/>
          <w:szCs w:val="24"/>
        </w:rPr>
        <w:lastRenderedPageBreak/>
        <w:t>P</w:t>
      </w:r>
      <w:r w:rsidR="00BE134B" w:rsidRPr="00011957">
        <w:rPr>
          <w:rFonts w:ascii="Times New Roman" w:eastAsia="Times New Roman" w:hAnsi="Times New Roman" w:cs="Times New Roman"/>
          <w:b/>
          <w:color w:val="000000"/>
          <w:sz w:val="24"/>
          <w:szCs w:val="24"/>
          <w:lang w:val="en-US"/>
        </w:rPr>
        <w:t>ENDAHULUAN</w:t>
      </w:r>
    </w:p>
    <w:p w14:paraId="3D6DEAB4" w14:textId="77777777" w:rsidR="0015514D" w:rsidRDefault="00C7309A" w:rsidP="0015514D">
      <w:pPr>
        <w:pStyle w:val="NormalWeb"/>
        <w:spacing w:before="0" w:beforeAutospacing="0" w:after="0" w:afterAutospacing="0"/>
        <w:ind w:firstLine="709"/>
        <w:jc w:val="both"/>
      </w:pPr>
      <w:r>
        <w:t>Pendidikan modern menekankan pentingnya refleksi diri bagi guru untuk meningkatkan kualitas mengajar. Guru yang mampu melakukan refleksi diri secara ter</w:t>
      </w:r>
      <w:bookmarkStart w:id="2" w:name="_GoBack"/>
      <w:bookmarkEnd w:id="2"/>
      <w:r>
        <w:t xml:space="preserve">atur dapat mengidentifikasi kekuatan dan area pengembangan dalam pengajarannya </w:t>
      </w:r>
      <w:r>
        <w:fldChar w:fldCharType="begin" w:fldLock="1"/>
      </w:r>
      <w:r>
        <w:instrText>ADDIN CSL_CITATION {"citationItems":[{"id":"ITEM-1","itemData":{"DOI":"10.1007/s10758-021-09588-1","ISSN":"22111670","abstract":"Social constructivism is a learning approach in which students actively construct their own knowledge by way of experiences and interactions with others. As such, it is important to highlight both individual and group-based reflection practices in pre-service teacher training as a key aspect for improving teaching practice. This paper presents the results of the design and implementation of a training programme of 7 sessions (8.5 h of class participation plus 25 h of personal homework) for pre-service secondary school science teachers, who were asked to design a gamification resource and an e-rubric to evaluate it. Subsequent improvement of this e-rubric was enhanced by performing different reflection activities at key moments. The programme was carried out by 50 Spanish pre-service teachers from Málaga (Spain). Data collection centred on the e-rubrics designed, the emotions experienced and the possible transfer to real-life practice performed six months later. The impact of reflections on the evaluation was studied by analysing the evolution of the categories proposed by the participants for the e-rubric at different times, with marked changes being found during design and preparation of the gamification resource, and only very minor changes post-implementation. In addition, a group-based criteria consensus session favoured a more in-depth reflection. Interest was the main emotion experienced by pre-service teachers, especially during preparation and use of the resource. The programme also had a marked impact on transfer of the e-rubric into practice, as did the designed resource, although to a lesser extent.","author":[{"dropping-particle":"","family":"Franco-Mariscal","given":"Antonio Joaquín","non-dropping-particle":"","parse-names":false,"suffix":""},{"dropping-particle":"","family":"Cebrián-Robles","given":"Daniel","non-dropping-particle":"","parse-names":false,"suffix":""},{"dropping-particle":"","family":"Rodríguez-Losada","given":"Noela","non-dropping-particle":"","parse-names":false,"suffix":""}],"container-title":"Technology, Knowledge and Learning","id":"ITEM-1","issue":"2","issued":{"date-parts":[["2023","6","1"]]},"page":"769-802","publisher":"Springer Science and Business Media B.V.","title":"Impact of a Training Programme on the e-rubric Evaluation of Gamification Resources with Pre-Service Secondary School Science Teachers","type":"article-journal","volume":"28"},"uris":["http://www.mendeley.com/documents/?uuid=ec4f456f-6d3a-3e7d-a609-445f3fcd1147"]}],"mendeley":{"formattedCitation":"(Franco-Mariscal et al., 2023)","plainTextFormattedCitation":"(Franco-Mariscal et al., 2023)","previouslyFormattedCitation":"(Franco-Mariscal et al., 2023)"},"properties":{"noteIndex":0},"schema":"https://github.com/citation-style-language/schema/raw/master/csl-citation.json"}</w:instrText>
      </w:r>
      <w:r>
        <w:fldChar w:fldCharType="separate"/>
      </w:r>
      <w:r w:rsidRPr="00374E21">
        <w:rPr>
          <w:noProof/>
        </w:rPr>
        <w:t>(Franco-Mariscal et al., 2023)</w:t>
      </w:r>
      <w:r>
        <w:fldChar w:fldCharType="end"/>
      </w:r>
      <w:r>
        <w:t xml:space="preserve">. Melalui refleksi ini, guru dapat lebih mudah memahami kebutuhan siswa dan menciptakan pengalaman belajar yang relevan dan bermakna </w:t>
      </w:r>
      <w:r>
        <w:fldChar w:fldCharType="begin" w:fldLock="1"/>
      </w:r>
      <w:r>
        <w:instrText>ADDIN CSL_CITATION {"citationItems":[{"id":"ITEM-1","itemData":{"DOI":"10.3389/feduc.2021.776991","ISSN":"2504284X","abstract":"There is an abundance of studies that suggest that the use of co-teaching strategies in higher education courses can enhance instructors’ professional development, mainly by providing a space for transfer of methodologies and tools, as well as critical reflection on one’s teaching practice. However, little has been said about the actual processes through which co-teachers learn from each other. This study analyzes the opportunities of professional growth afforded to seven professors by eight co-taught courses, over two academic years, in the fields of Education and Translation and Interpreting. Specifically, it examines how professional relationships between co-teachers fuel teacher learning, the specific learning processes generated, and the areas of professional development impacted. To do so, 11 reflective teacher diaries were coded and analyzed, and further evidence was collected through focus groups interviews with students of some of the co-taught courses. Results suggest that comparison with the co-teacher is the main force behind participants’ learning on co-teaching; furthermore, such comparisons enable three main learning processes: reflection, negotiation and transfer, bearing mainly on teaching methods and materials and use of technology. Finally, there is evidence that occasional or ongoing team teaching (two instructors simultaneously in class) can enhance the effectiveness of co-teacher comparisons.","author":[{"dropping-particle":"","family":"Buckingham","given":"Lyndsay R.","non-dropping-particle":"","parse-names":false,"suffix":""},{"dropping-particle":"","family":"López-Hernández","given":"Alfonso","non-dropping-particle":"","parse-names":false,"suffix":""},{"dropping-particle":"","family":"Strotmann","given":"Birgit","non-dropping-particle":"","parse-names":false,"suffix":""}],"container-title":"Frontiers in Education","id":"ITEM-1","issued":{"date-parts":[["2021","12","22"]]},"publisher":"Frontiers Media S.A.","title":"Learning by Comparison: The Benefits of Co-Teaching for University Professors’ Professional Development","type":"article-journal","volume":"6"},"uris":["http://www.mendeley.com/documents/?uuid=403b5b7f-ccc7-3e6a-8c9b-18ebf43bfd82"]},{"id":"ITEM-2","itemData":{"DOI":"10.4108/eai.21-12-2021.2317250","abstract":"This study aims to describe a collaborative mentoring model in producing reflective teachers in elementary schools. This type of research is continuous classroom action research with …","author":[{"dropping-particle":"","family":"Faisal","given":"Faisal","non-dropping-particle":"","parse-names":false,"suffix":""},{"dropping-particle":"","family":"Ananda","given":"Lala","non-dropping-particle":"","parse-names":false,"suffix":""},{"dropping-particle":"","family":"Lova","given":"Stelly","non-dropping-particle":"","parse-names":false,"suffix":""},{"dropping-particle":"","family":"Purnomo","given":"Try","non-dropping-particle":"","parse-names":false,"suffix":""}],"id":"ITEM-2","issue":"12","issued":{"date-parts":[["2022"]]},"title":"Collaborative Nested Action Research (C-NAR): Effective Approach Produces Reflective Teachers in Elementary School","type":"article-journal"},"uris":["http://www.mendeley.com/documents/?uuid=f9decff8-e45c-4c0a-a422-6b97f5c5ecec"]}],"mendeley":{"formattedCitation":"(Buckingham et al., 2021; Faisal, Ananda, et al., 2022)","plainTextFormattedCitation":"(Buckingham et al., 2021; Faisal, Ananda, et al., 2022)","previouslyFormattedCitation":"(Buckingham et al., 2021; Faisal, Ananda, et al., 2022)"},"properties":{"noteIndex":0},"schema":"https://github.com/citation-style-language/schema/raw/master/csl-citation.json"}</w:instrText>
      </w:r>
      <w:r>
        <w:fldChar w:fldCharType="separate"/>
      </w:r>
      <w:r w:rsidRPr="00331C0F">
        <w:rPr>
          <w:noProof/>
        </w:rPr>
        <w:t>(Buckingham et al., 2021; Faisal, Ananda, et al., 2022)</w:t>
      </w:r>
      <w:r>
        <w:fldChar w:fldCharType="end"/>
      </w:r>
      <w:r>
        <w:t xml:space="preserve"> Selain itu, refleksi diri mendorong guru untuk terus mengembangkan strategi pembelajaran yang inovatif sesuai dengan tuntutan kurikulum dan perkembangan zaman </w:t>
      </w:r>
      <w:r>
        <w:fldChar w:fldCharType="begin" w:fldLock="1"/>
      </w:r>
      <w:r>
        <w:instrText>ADDIN CSL_CITATION {"citationItems":[{"id":"ITEM-1","itemData":{"DOI":"10.1080/2331186X.2022.2030076","ISSN":"2331186X","abstract":"The purpose of this research was to examine the reflective practice skills and attitudes that were used by EFL teachers in their professional learning. This study followed a convergent parallel mixed-methods research design. The qualitative data was analyzed first by locating the practice indicators to assess reflective practice. Six indicators were in the teachers’ narratives. Next, both data strands were merged to be discussed together, and three themes were generated from the views of the teachers that were related to some of the reflective teaching skills and attitudes covered in the survey scale. The quantitative data findings showed that EFL in-service teachers believed they often used a considerable number of reflective teaching skills and attitudes during the learning-teaching process. In the qualitative data findings, the teachers’ narratives indicated that they were not engaged in reflective teaching at all, and they held the attitudes of pre-reflection level. This study implies that teacher education and training programs should be budgeted to offer training for teacher educators, mentors, and school principals and provide support for secondary schools. In addition, the professional development staff should provide in-service teachers with professional training about reflective practice and work with the school leaders to produce a culture of inquiry in their schools. The study suggests teachers must give more attention to practical, continued, and open-ended learning engagements that will facilitate reflective learning practices that are very useful for coping with the dynamic and complex nature of the teaching profession.","author":[{"dropping-particle":"","family":"Gudeta","given":"Degife","non-dropping-particle":"","parse-names":false,"suffix":""}],"container-title":"Cogent Education","id":"ITEM-1","issue":"1","issued":{"date-parts":[["2022"]]},"publisher":"Taylor and Francis Ltd.","title":"Professional Development Through Reflective Practice: The Case of Addis Ababa Secondary School EFL in-Service Teachers","type":"article-journal","volume":"9"},"uris":["http://www.mendeley.com/documents/?uuid=c1933aeb-cd9c-33fc-9f3c-214bf073887f"]}],"mendeley":{"formattedCitation":"(Gudeta, 2022)","plainTextFormattedCitation":"(Gudeta, 2022)","previouslyFormattedCitation":"(Gudeta, 2022)"},"properties":{"noteIndex":0},"schema":"https://github.com/citation-style-language/schema/raw/master/csl-citation.json"}</w:instrText>
      </w:r>
      <w:r>
        <w:fldChar w:fldCharType="separate"/>
      </w:r>
      <w:r w:rsidRPr="00374E21">
        <w:rPr>
          <w:noProof/>
        </w:rPr>
        <w:t>(Gudeta, 2022)</w:t>
      </w:r>
      <w:r>
        <w:fldChar w:fldCharType="end"/>
      </w:r>
      <w:r>
        <w:t xml:space="preserve">. Dengan pendekatan ini, guru di sekolah dasar pun dapat menjadi fasilitator pembelajaran yang adaptif dan efektif bagi siswa </w:t>
      </w:r>
      <w:r>
        <w:fldChar w:fldCharType="begin" w:fldLock="1"/>
      </w:r>
      <w:r>
        <w:instrText>ADDIN CSL_CITATION {"citationItems":[{"id":"ITEM-1","itemData":{"DOI":"10.3389/feduc.2022.1037280","ISSN":"2504284X","abstract":"This study utilized Self-Study of Practice methodology to examine stories of our teacher development to explore the role of reflection in helping us grapple with challenging experiences in our teaching. Through emergent coding and collaborative analysis, we examine how reflection critically impacts the trajectory of practicing teachers. Our stories and subsequent discussion reveal recurring themes that suggest practices, attitudes, and skills reflective teachers implement to improve their understanding of the teacher-self and influence positive student outcomes.","author":[{"dropping-particle":"","family":"Cole","given":"Chelsea","non-dropping-particle":"","parse-names":false,"suffix":""},{"dropping-particle":"","family":"Hinchcliff","given":"Elizabeth","non-dropping-particle":"","parse-names":false,"suffix":""},{"dropping-particle":"","family":"Carling","given":"Rylee","non-dropping-particle":"","parse-names":false,"suffix":""}],"container-title":"Frontiers in Education","id":"ITEM-1","issued":{"date-parts":[["2022","11","2"]]},"publisher":"Frontiers Media S.A.","title":"Reflection as Teachers: Our Critical Developments","type":"article-journal","volume":"7"},"uris":["http://www.mendeley.com/documents/?uuid=29590293-3d41-3c77-b7e0-69faed749d7d"]}],"mendeley":{"formattedCitation":"(Cole et al., 2022)","plainTextFormattedCitation":"(Cole et al., 2022)","previouslyFormattedCitation":"(Cole et al., 2022)"},"properties":{"noteIndex":0},"schema":"https://github.com/citation-style-language/schema/raw/master/csl-citation.json"}</w:instrText>
      </w:r>
      <w:r>
        <w:fldChar w:fldCharType="separate"/>
      </w:r>
      <w:r w:rsidRPr="00374E21">
        <w:rPr>
          <w:noProof/>
        </w:rPr>
        <w:t>(Cole et al., 2022)</w:t>
      </w:r>
      <w:r>
        <w:fldChar w:fldCharType="end"/>
      </w:r>
      <w:r>
        <w:t>.</w:t>
      </w:r>
    </w:p>
    <w:p w14:paraId="765867CD" w14:textId="77777777" w:rsidR="0015514D" w:rsidRDefault="00C7309A" w:rsidP="0015514D">
      <w:pPr>
        <w:pStyle w:val="NormalWeb"/>
        <w:spacing w:before="0" w:beforeAutospacing="0" w:after="0" w:afterAutospacing="0"/>
        <w:ind w:firstLine="709"/>
        <w:jc w:val="both"/>
      </w:pPr>
      <w:r>
        <w:t xml:space="preserve">Guru yang melakukan refleksi diri akan mudah beradaptasi dengan perubahan kurikulum dan kebutuhan siswa. Dengan mengevaluasi praktik mengajarnya secara berkala, guru dapat mengenali kekuatan dan kelemahan metode pembelajaran yang digunakan. Proses refleksi ini mendorong guru untuk terus belajar dan menyesuaikan diri dengan perkembangan pendidikan, seperti penerapan teknologi baru atau pendekatan pembelajaran yang lebih relevan bagi siswa </w:t>
      </w:r>
      <w:r>
        <w:fldChar w:fldCharType="begin" w:fldLock="1"/>
      </w:r>
      <w:r>
        <w:instrText>ADDIN CSL_CITATION {"citationItems":[{"id":"ITEM-1","itemData":{"DOI":"10.1186/s12906-023-04203-5","ISBN":"1290602304203","ISSN":"26627671","PMID":"37848846","abstract":"Objectives: Youth experiencing homelessness (YEH) face challenges that impact their physical, mental, and social wellbeing, emotion regulation, and coping. Mindfulness reduces stress and improves resilience, emotion regulation, and executive functioning. Mindfulness-based interventions (MBI) teach the practice of mindfulness to foster present-moment attention without judgement and enhance self-observation and self-regulation, resulting in greater awareness of thoughts and emotions and improved interpersonal relationships. One such intervention,.b, has been shown to lower stress among youth. While a pilot study of.b among sheltered youth found the intervention to be feasible, the need for modifications was identified to improve its relevance, accessibility, and incorporate a trauma-informed approach. Methods: We used the ADAPT-ITT (Assessment, Decisions, Administration, Production, Topical experts, Integration, Training staff, and Testing) framework to adapt the.b mindfulness intervention to YEH living in an emergency shelter. Nine focus group discussions (n = 56), key informant interviews (n = 8), and beta testing with five youth working group sessions (n = 10) identified needed modifications. Results: Adaptations to the curriculum and delivery modality were made to approximate the average length of stay in the shelter; integrate trauma-informed care approaches; increase diversity of images by race, ethnicity, age, sexual orientation, and gender identity; and increase the relevance of the audio-visual components. Conclusions: Youth and the health and social services providers who care for youth generally liked the core concepts and presentation of the curriculum. Using the ADAPT-ITT framework, minor, yet important, changes were made to increase the relevance, acceptability, and feasibility of the intervention. Next steps are to conduct a randomized attention control pilot study to assess feasibility and acceptability.","author":[{"dropping-particle":"","family":"Santa Maria","given":"Diane","non-dropping-particle":"","parse-names":false,"suffix":""},{"dropping-particle":"","family":"Cuccaro","given":"Paula","non-dropping-particle":"","parse-names":false,"suffix":""},{"dropping-particle":"","family":"Bender","given":"Kimberly","non-dropping-particle":"","parse-names":false,"suffix":""},{"dropping-particle":"","family":"Sibinga","given":"Erica","non-dropping-particle":"","parse-names":false,"suffix":""},{"dropping-particle":"","family":"Guerrero","given":"Natalie","non-dropping-particle":"","parse-names":false,"suffix":""},{"dropping-particle":"","family":"Keshwani","given":"Najiba","non-dropping-particle":"","parse-names":false,"suffix":""},{"dropping-particle":"","family":"Jones","given":"Jennifer","non-dropping-particle":"","parse-names":false,"suffix":""},{"dropping-particle":"","family":"Fine","given":"Micki","non-dropping-particle":"","parse-names":false,"suffix":""}],"container-title":"BMC Complementary Medicine and Therapies","id":"ITEM-1","issue":"1","issued":{"date-parts":[["2023"]]},"page":"1-10","title":"Adapting an Evidence-Based Mindfulness-Based Intervention for Sheltered Youth Experiencing Homelessness","type":"article-journal","volume":"23"},"uris":["http://www.mendeley.com/documents/?uuid=af659830-1a9c-481d-a220-db46f2bbf651"]}],"mendeley":{"formattedCitation":"(Santa Maria et al., 2023)","plainTextFormattedCitation":"(Santa Maria et al., 2023)","previouslyFormattedCitation":"(Santa Maria et al., 2023)"},"properties":{"noteIndex":0},"schema":"https://github.com/citation-style-language/schema/raw/master/csl-citation.json"}</w:instrText>
      </w:r>
      <w:r>
        <w:fldChar w:fldCharType="separate"/>
      </w:r>
      <w:r w:rsidRPr="00FE7530">
        <w:rPr>
          <w:noProof/>
        </w:rPr>
        <w:t>(Santa Maria et al., 2023)</w:t>
      </w:r>
      <w:r>
        <w:fldChar w:fldCharType="end"/>
      </w:r>
      <w:r>
        <w:t xml:space="preserve">. Selain itu, refleksi diri memungkinkan guru untuk lebih memahami kebutuhan unik siswa dan menciptakan strategi pengajaran yang inklusif, sehingga proses pembelajaran lebih efektif dan berpusat pada perkembangan siswa </w:t>
      </w:r>
      <w:r>
        <w:fldChar w:fldCharType="begin" w:fldLock="1"/>
      </w:r>
      <w:r>
        <w:instrText>ADDIN CSL_CITATION {"citationItems":[{"id":"ITEM-1","itemData":{"DOI":"https://doi.org/10.1111/1467-8578.12537","ISSN":"0952-3383","abstract":"Abstract Deafblind children and young people often perform poorly in education and social settings. The extent of this attainment gap is unknown. Following the Joanna Briggs protocol, a scoping review was conducted with the aim of establishing the barriers to and facilitators of academic and social success for this cohort. A database search was conducted seeking peer-reviewed studies relating to deafblind children and young people, in academic and social settings, from any country, published in English, between 1989 and 2022. The review included 38 articles with a range of methodological approaches. The main barriers to success were limited opportunities and options to communicate, a lack of awareness of deafblindness within schools and the wider community, and limited opportunities and adaptations to the curriculum, resources and the environment. The facilitators included improving access to communication and resources, increased awareness, and collaboration between families and professionals. Additional research is needed in this field, particularly to investigate the impact of modern technology to aid access and communication for deafblind children and young people.","author":[{"dropping-particle":"","family":"Manford","given":"Claire","non-dropping-particle":"","parse-names":false,"suffix":""},{"dropping-particle":"","family":"Rajasingam","given":"Saima","non-dropping-particle":"","parse-names":false,"suffix":""},{"dropping-particle":"","family":"Allen","given":"Peter M","non-dropping-particle":"","parse-names":false,"suffix":""},{"dropping-particle":"","family":"Beukes","given":"Eldre","non-dropping-particle":"","parse-names":false,"suffix":""}],"container-title":"British Journal of Special Education","id":"ITEM-1","issue":"3","issued":{"date-parts":[["2024","9","1"]]},"page":"332-346","publisher":"John Wiley &amp; Sons, Ltd","title":"The Barriers to and Facilitators of Academic and Social Success for Deafblind Children and Young People: A Scoping Review","type":"article-journal","volume":"51"},"uris":["http://www.mendeley.com/documents/?uuid=6789aabb-7f1a-466f-985d-bd74a9c727e7"]},{"id":"ITEM-2","itemData":{"ISBN":"2013206534","abstract":"Seiring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Kata","author":[{"dropping-particle":"","family":"Faisal, F., Sembiring, M. M., Hatmi, E., &amp; Lova","given":"S. M.","non-dropping-particle":"","parse-names":false,"suffix":""}],"id":"ITEM-2","issued":{"date-parts":[["2024"]]},"page":"1-23","title":"Guru Reflektif dan Adaptif di Sekolah Dasar: Pendekatan IAM (Inspired, Adopt, and Magnify)","type":"article-journal"},"uris":["http://www.mendeley.com/documents/?uuid=105b2035-4e6b-43c7-b6ad-233f6987aa3a"]}],"mendeley":{"formattedCitation":"(Faisal, F., Sembiring, M. M., Hatmi, E., &amp; Lova, 2024; Manford et al., 2024)","plainTextFormattedCitation":"(Faisal, F., Sembiring, M. M., Hatmi, E., &amp; Lova, 2024; Manford et al., 2024)","previouslyFormattedCitation":"(Faisal, F., Sembiring, M. M., Hatmi, E., &amp; Lova, 2024; Manford et al., 2024)"},"properties":{"noteIndex":0},"schema":"https://github.com/citation-style-language/schema/raw/master/csl-citation.json"}</w:instrText>
      </w:r>
      <w:r>
        <w:fldChar w:fldCharType="separate"/>
      </w:r>
      <w:r w:rsidRPr="00CA36BA">
        <w:rPr>
          <w:noProof/>
        </w:rPr>
        <w:t>(Faisal, F., Sembiring, M. M., Hatmi, E., &amp; Lova, 2024; Manford et al., 2024)</w:t>
      </w:r>
      <w:r>
        <w:fldChar w:fldCharType="end"/>
      </w:r>
      <w:r>
        <w:t>.</w:t>
      </w:r>
    </w:p>
    <w:p w14:paraId="3E933692" w14:textId="77777777" w:rsidR="0015514D" w:rsidRDefault="00C7309A" w:rsidP="0015514D">
      <w:pPr>
        <w:pStyle w:val="NormalWeb"/>
        <w:spacing w:before="0" w:beforeAutospacing="0" w:after="0" w:afterAutospacing="0"/>
        <w:ind w:firstLine="709"/>
        <w:jc w:val="both"/>
      </w:pPr>
      <w:r>
        <w:t xml:space="preserve">Refleksi diri oleh guru mampu meningkatkan efektivitas pembelajaran. Melalui refleksi, guru dapat menilai keberhasilan metode yang digunakan dan memahami kelemahan yang perlu diperbaiki </w:t>
      </w:r>
      <w:r>
        <w:fldChar w:fldCharType="begin" w:fldLock="1"/>
      </w:r>
      <w:r>
        <w:instrText>ADDIN CSL_CITATION {"citationItems":[{"id":"ITEM-1","itemData":{"ISSN":"1479-4403","abstract":"La inteligencia artificial es el motor del cambio centrado en las necesidades y demandas del alumno. La investigación explora la Inteligencia Artificial en la Educación (AIEd) para construir sistemas de aprendizaje personalizados para los estudiantes. La investigación investiga y propone un marco para AIEd: sitios de redes sociales y chatbots , sistemas expertos para la educación , mentores y agentes inteligentes, aprendizaje automático, sistemas educativos personalizados y entornos educativos virtuales. Estas tecnologías ayudan a los educadores a desarrollar e introducir enfoques personalizados para dominar nuevos conocimientos y desarrollar competencias profesionales. La investigación presenta un estudio de caso de implementación de AIEd en educación. Los académicos realizaron el experimento en establecimientos educativos utilizando inteligencia artificial en el plan de estudios. Los académicos encuestaron a 184 estudiantes de segundo año del Instituto de Pedagogía y Psicología de la Universidad Pedagógica Nacional de Abay Kazakh y la Universidad Tecnológica Estatal de Kuban para recopilar los datos. Los académicos consideraron las discusiones grupales colectivas sobre la aplicación de la inteligencia artificial en la educación para mejorar la efectividad del aprendizaje. La investigación identificó ventajas clave para la creación de itinerarios de aprendizaje personalizados, como el acceso a la formación en modo 24/7, la formación en contextos virtuales, la adaptación del contenido educativo a las necesidades personales de los estudiantes, la retroalimentación en tiempo real y regular, las mejoras en el proceso educativo y mental. estimulaciones. la propuestaEl paradigma educativo refleja el papel cada vez mayor de la inteligencia artificial en la vida socioeconómica, las preocupaciones sociales y éticas que la inteligencia artificial puede plantear a la humanidad y su papel en la digitalización de la educación . El presente artículo puede ser utilizado como marco teórico para muchas instituciones educativas que planeen explotar las capacidades de la inteligencia artificial en su adaptación al aprendizaje personalizado.","author":[{"dropping-particle":"","family":"Tapalova","given":"O","non-dropping-particle":"","parse-names":false,"suffix":""},{"dropping-particle":"","family":"Zhiyenbayeva","given":"N","non-dropping-particle":"","parse-names":false,"suffix":""}],"container-title":"The Electronic Journal of e-Learning","id":"ITEM-1","issue":"5","issued":{"date-parts":[["2022"]]},"page":"639-653","title":"Inteligencia artificial en la educación: AIEd para rutas de aprendizaje personalizadas","type":"article-journal","volume":"20"},"uris":["http://www.mendeley.com/documents/?uuid=edf4ab1c-7e12-45d5-bf90-996d6829fd7e"]},{"id":"ITEM-2","itemData":{"DOI":"10.24114/esjpgsd.v12i3.41581","ISSN":"2407-4934","abstract":"Tujuan penelitian ini untuk mendeskripsikan inovasi pembimbingan dengan menggunakan model IMPRECI (Introduction, Modelling, Practice, Reflection, and Innovation) sebagai upaya menghasilkan calon guru reflektif di SD. Penelitian ini merupakan penelitian tindakan kelas berkelanjutan dengan menggunakan pendekatan C-NAR (Collaborative Nested Action Research). Teknik pengumpulan data dilakukan melalui kuesioner, observasi, dan pendokumentasian. Instrumen yang digunakan dalam penelitian ini berupa angket, lembar observasi, dan daftar centang dokumentasi. Data uji lapangan dianalisis dengan skor dan dijelaskan secara kualitatif. Hasil penelitian menunjukkan bahwa tingkat kemudahan penggunaan model IMPRECI menghasilkan nilai rata-rata 3.67 dengan kategori Sangat Praktis dan tingkat efektivitas pembimbingan menggunakan model IMPRECI dikategori Sangat Efektif.","author":[{"dropping-particle":"","family":"Faisal","given":"Faisal","non-dropping-particle":"","parse-names":false,"suffix":""},{"dropping-particle":"","family":"Sembiring","given":"Masta Marselina","non-dropping-particle":"","parse-names":false,"suffix":""},{"dropping-particle":"","family":"Simanungkalit","given":"Erlinda","non-dropping-particle":"","parse-names":false,"suffix":""},{"dropping-particle":"","family":"Hatmi","given":"Edizal","non-dropping-particle":"","parse-names":false,"suffix":""},{"dropping-particle":"","family":"Lova","given":"Stelly Martha","non-dropping-particle":"","parse-names":false,"suffix":""}],"container-title":"Elementary School Journal Pgsd Fip Unimed","id":"ITEM-2","issue":"3","issued":{"date-parts":[["2022"]]},"page":"256","title":"IMPRECI: Inovasi Model Pembimbingan sebagai Upaya Menghasilkan Calon Guru Reflektif di Sekolah Dasar","type":"article-journal","volume":"12"},"uris":["http://www.mendeley.com/documents/?uuid=b6fd7125-67d4-4bb5-960c-3087619d19fb"]}],"mendeley":{"formattedCitation":"(Faisal, Sembiring, et al., 2022; Tapalova &amp; Zhiyenbayeva, 2022)","plainTextFormattedCitation":"(Faisal, Sembiring, et al., 2022; Tapalova &amp; Zhiyenbayeva, 2022)","previouslyFormattedCitation":"(Faisal, Sembiring, et al., 2022; Tapalova &amp; Zhiyenbayeva, 2022)"},"properties":{"noteIndex":0},"schema":"https://github.com/citation-style-language/schema/raw/master/csl-citation.json"}</w:instrText>
      </w:r>
      <w:r>
        <w:fldChar w:fldCharType="separate"/>
      </w:r>
      <w:r w:rsidRPr="00331C0F">
        <w:rPr>
          <w:noProof/>
        </w:rPr>
        <w:t>(Faisal, Sembiring, et al., 2022; Tapalova &amp; Zhiyenbayeva, 2022)</w:t>
      </w:r>
      <w:r>
        <w:fldChar w:fldCharType="end"/>
      </w:r>
      <w:r>
        <w:t xml:space="preserve">. Dengan begitu, guru dapat menyesuaikan strategi pengajaran agar lebih sesuai dengan kebutuhan dan karakteristik siswa. Selain itu, refleksi diri </w:t>
      </w:r>
      <w:r>
        <w:lastRenderedPageBreak/>
        <w:t xml:space="preserve">memungkinkan guru untuk mengembangkan pendekatan yang lebih kreatif dan adaptif </w:t>
      </w:r>
      <w:r>
        <w:fldChar w:fldCharType="begin" w:fldLock="1"/>
      </w:r>
      <w:r>
        <w:instrText>ADDIN CSL_CITATION {"citationItems":[{"id":"ITEM-1","itemData":{"DOI":"10.3991/IJIM.V15I04.20291","ISSN":"18657923","abstract":"Over the past decade, digitalization shapes the overall educational structure worldwide, with the attention received from practitioners, researchers, and policymakers for educational development. Digital technologies are bringing massive changes across education, skills, and employment. These changes mirror how technology is increasingly central to education 4.0. Digital technologies are expanding beyond innovative and less traditional techniques of teaching and learning via education collaboration. However, the present study will explore the research conducted on digital technologies and education. Data is selected from the Scopus database reputed journals. The final 47 studies are chosen for the review process using PRISMA statement 2015, and bibliometric analysis is done to find the occurrence of keywords. The findings of the study are strengthening the value of educational growth and development of high-tech skills. Education's Future focuses on digital technologies, and the traditional modes of education will be replaced entirely.","author":[{"dropping-particle":"","family":"Qureshi","given":"Muhammad Imran","non-dropping-particle":"","parse-names":false,"suffix":""},{"dropping-particle":"","family":"Khan","given":"Nohman","non-dropping-particle":"","parse-names":false,"suffix":""},{"dropping-particle":"","family":"Raza","given":"Hamad","non-dropping-particle":"","parse-names":false,"suffix":""},{"dropping-particle":"","family":"Imran","given":"Amina","non-dropping-particle":"","parse-names":false,"suffix":""},{"dropping-particle":"","family":"Ismail","given":"Fadillah","non-dropping-particle":"","parse-names":false,"suffix":""}],"container-title":"International Journal of Interactive Mobile Technologies","id":"ITEM-1","issue":"4","issued":{"date-parts":[["2021"]]},"page":"31-47","title":"Digital Technologies in Education 4.0. Does it Enhance the Effectiveness of Learning?","type":"article-journal","volume":"15"},"uris":["http://www.mendeley.com/documents/?uuid=20a44bef-2419-4586-9658-9764959f070d"]}],"mendeley":{"formattedCitation":"(Qureshi et al., 2021)","plainTextFormattedCitation":"(Qureshi et al., 2021)","previouslyFormattedCitation":"(Qureshi et al., 2021)"},"properties":{"noteIndex":0},"schema":"https://github.com/citation-style-language/schema/raw/master/csl-citation.json"}</w:instrText>
      </w:r>
      <w:r>
        <w:fldChar w:fldCharType="separate"/>
      </w:r>
      <w:r w:rsidRPr="00290542">
        <w:rPr>
          <w:noProof/>
        </w:rPr>
        <w:t>(Qureshi et al., 2021)</w:t>
      </w:r>
      <w:r>
        <w:fldChar w:fldCharType="end"/>
      </w:r>
      <w:r>
        <w:t xml:space="preserve">. Hal ini tidak hanya membuat pembelajaran lebih dinamis, tetapi juga meningkatkan partisipasi dan pemahaman siswa dalam proses belajar </w:t>
      </w:r>
      <w:r>
        <w:fldChar w:fldCharType="begin" w:fldLock="1"/>
      </w:r>
      <w:r>
        <w:instrText>ADDIN CSL_CITATION {"citationItems":[{"id":"ITEM-1","itemData":{"DOI":"10.18844/cjes.v17i5.7220","ISSN":"1305905X","abstract":"Higher-order thinking skills (HOT) are expected to be skills needed now and in the future. Many learning strategies are applied to increase HOT. However, how effective is this in improving students' HOT abilities? This study will examine how effective learning is to improve HOT thinking skills. We use meta-analysis research techniques to analyze the research quantitatively. We have selected 21 articles from 60 Google Scholars that use models, media, and science learning assessments to improve HOT. Heterogeneity analysis (trim-fill, funnel plot approach, and Z value calculation) was used to prove the absence of publication bias. Forest plot analysis showed an average increase in learning effectiveness of 0.32 on the moderate effect. It shows that the effectiveness of learning is supported by strategies for using media, methods, and strategies for assessment. These factors are proven to increase the effectiveness of students' HOT abilities.","author":[{"dropping-particle":"","family":"Shanti","given":"Made Rai Suci","non-dropping-particle":"","parse-names":false,"suffix":""},{"dropping-particle":"","family":"Istiyono","given":"Edi","non-dropping-particle":"","parse-names":false,"suffix":""},{"dropping-particle":"","family":"Munadi","given":"Sudji","non-dropping-particle":"","parse-names":false,"suffix":""}],"container-title":"Cypriot Journal of Educational Sciences","id":"ITEM-1","issue":"5","issued":{"date-parts":[["2022"]]},"page":"1576-1587","title":"The effectiveness of learning to improve students' higher-order thinking skills","type":"article-journal","volume":"17"},"uris":["http://www.mendeley.com/documents/?uuid=051accc9-fa7f-41c7-bade-122dce8acc0c"]}],"mendeley":{"formattedCitation":"(Shanti et al., 2022)","plainTextFormattedCitation":"(Shanti et al., 2022)","previouslyFormattedCitation":"(Shanti et al., 2022)"},"properties":{"noteIndex":0},"schema":"https://github.com/citation-style-language/schema/raw/master/csl-citation.json"}</w:instrText>
      </w:r>
      <w:r>
        <w:fldChar w:fldCharType="separate"/>
      </w:r>
      <w:r w:rsidRPr="00290542">
        <w:rPr>
          <w:noProof/>
        </w:rPr>
        <w:t>(Shanti et al., 2022)</w:t>
      </w:r>
      <w:r>
        <w:fldChar w:fldCharType="end"/>
      </w:r>
      <w:r>
        <w:t xml:space="preserve">. </w:t>
      </w:r>
    </w:p>
    <w:p w14:paraId="28693F4B" w14:textId="77777777" w:rsidR="0015514D" w:rsidRDefault="00C7309A" w:rsidP="0015514D">
      <w:pPr>
        <w:pStyle w:val="NormalWeb"/>
        <w:spacing w:before="0" w:beforeAutospacing="0" w:after="0" w:afterAutospacing="0"/>
        <w:ind w:firstLine="709"/>
        <w:jc w:val="both"/>
      </w:pPr>
      <w:r>
        <w:t xml:space="preserve">Kemampuan reflektif guru dapat ditingkatkan dengan menginspirasi berbagai pendekatan yang pernah dilaksanakan guru sebelumnya dan dijadikan contoh aplikatif dalam pengajaran. Melalui pengalaman yang terdokumentasi, guru dapat mengevaluasi metode yang paling efektif dan sesuai dengan kebutuhan siswa </w:t>
      </w:r>
      <w:r>
        <w:fldChar w:fldCharType="begin" w:fldLock="1"/>
      </w:r>
      <w:r>
        <w:instrText>ADDIN CSL_CITATION {"citationItems":[{"id":"ITEM-1","itemData":{"DOI":"10.1177/23779608211026715","ISSN":"23779608","abstract":"Introduction: Nursing students are exposed to ethically challenging conditions in their future workplaces; hence, they must be ethically knowledgeable and morally sensitive to provide patients with holistic care based on sound ethical decision-making skills. Objectives: This study aimed to assess nursing students’ perception of their academic ethical awareness and moral sensitivity and determine the relationship between these variables. Methods: We conducted a descriptive correlational research study with a convenient sample of nursing students (N = 246) in a Saudi University nursing college. Data were collected using the Academic Ethical Awareness Questionnaire and Moral Sensitivity Questionnaire. We used descriptive statistics, ANOVA, and regression analyses. Results: Nursing students exhibited moderate academic ethical awareness and moral sensitivity. The regression analysis showed that academic ethical awareness can substantially predict 28.8% of the explained moral sensitivity variance (p &lt; 0.001). Nursing students were aware that the violation of patients’ respect or confidentiality and cheating in examinations were unethical behaviors. However, they showed low ethical awareness toward plagiarism behaviors. Furthermore, they reported higher moral sensitivity for patient-oriented care and professional responsibility and did not experience conflict. Academic level and integrated classroom and clinical learning experiences seemed to positively impact students’ academic ethical awareness. Conclusion: The findings provide a basis for monitoring nursing students’ professional misconduct so that they maintain integrity and adhere to academic ethics guidelines. Constant exertions for fostering nursing ethics courses with inspiring learning content and innovative instructional material are vital in improving nursing students’ academic integrity and ethical care.","author":[{"dropping-particle":"","family":"Alnajjar, PhD","given":"Hend Abdu","non-dropping-particle":"","parse-names":false,"suffix":""},{"dropping-particle":"","family":"Abou Hashish, PhD","given":"Ebtsam Aly","non-dropping-particle":"","parse-names":false,"suffix":""}],"container-title":"SAGE Open Nursing","id":"ITEM-1","issued":{"date-parts":[["2021"]]},"title":"Academic Ethical Awareness and Moral Sensitivity of Undergraduate Nursing Students: Assessment and Influencing Factors","type":"article-journal","volume":"7"},"uris":["http://www.mendeley.com/documents/?uuid=2f994709-f4f7-49c1-ab9e-b1be12da7959"]}],"mendeley":{"formattedCitation":"(Alnajjar, PhD &amp; Abou Hashish, PhD, 2021)","plainTextFormattedCitation":"(Alnajjar, PhD &amp; Abou Hashish, PhD, 2021)","previouslyFormattedCitation":"(Alnajjar, PhD &amp; Abou Hashish, PhD, 2021)"},"properties":{"noteIndex":0},"schema":"https://github.com/citation-style-language/schema/raw/master/csl-citation.json"}</w:instrText>
      </w:r>
      <w:r>
        <w:fldChar w:fldCharType="separate"/>
      </w:r>
      <w:r w:rsidRPr="00690888">
        <w:rPr>
          <w:noProof/>
        </w:rPr>
        <w:t>(Alnajjar, PhD &amp; Abou Hashish, PhD, 2021)</w:t>
      </w:r>
      <w:r>
        <w:fldChar w:fldCharType="end"/>
      </w:r>
      <w:r>
        <w:t xml:space="preserve">. Dengan meninjau praktik yang sudah terbukti berhasil, guru lebih mudah mengidentifikasi strategi mana yang perlu diterapkan atau disesuaikan dalam konteks kelasnya. Pendekatan ini juga membantu guru mengembangkan kreativitas dalam menyusun materi dan aktivitas pembelajaran </w:t>
      </w:r>
      <w:r>
        <w:fldChar w:fldCharType="begin" w:fldLock="1"/>
      </w:r>
      <w:r>
        <w:instrText>ADDIN CSL_CITATION {"citationItems":[{"id":"ITEM-1","itemData":{"DOI":"10.24059/olj.v28i3.3463","ISBN":"0000000310048","ISSN":"24725730","abstract":"This exploratory qualitative study investigates the obstacles, local support, and learning outcomes for adolescent learners in Nepal taking massive open online courses (MOOCs). A convenience sampling method was employed, and a total of thirteen individual interviews were conducted with K-12 Nepali students. Utilizing thematic analysis, this study revealed that the major difficulties these learners faced were a lack of scaffolding, language barriers, limited technology and internet access, and unmatched learning capacity and MOOC learning objectives that were designed for adults originally. To address these challenges, a local community of teachers, peers, schools, and families played a significant role in inspiring learning, providing scaffolding and guidance, fostering a collective and open local learning environment, instilling motivation, and offering both emotional and technical support. MOOC learning increases the independence of these adolescent learners, supplementing school learning, supporting their career paths, providing practical skills beyond theories, and achieving mental well-being. The aim of this study is to address the existing research gap pertaining to the role of local communities in blended learning with MOOCs, especially within communities situated in the Global South.","author":[{"dropping-particle":"","family":"Li","given":"Zixi","non-dropping-particle":"","parse-names":false,"suffix":""},{"dropping-particle":"","family":"Bonk I","given":"Curtis J.","non-dropping-particle":"","parse-names":false,"suffix":""},{"dropping-particle":"","family":"Zhu","given":"Meina","non-dropping-particle":"","parse-names":false,"suffix":""}],"container-title":"Online Learning Journal","id":"ITEM-1","issue":"3","issued":{"date-parts":[["2024"]]},"page":"497-523","title":"Community in the Open: Supports, Challenges, and Impacts of Local Learning Communities of K-12 Adolescent MOOC Learners from Nepal","type":"article-journal","volume":"28"},"uris":["http://www.mendeley.com/documents/?uuid=61266eb7-36e5-4dad-b4c2-6912744519bd"]}],"mendeley":{"formattedCitation":"(Li et al., 2024)","plainTextFormattedCitation":"(Li et al., 2024)","previouslyFormattedCitation":"(Li et al., 2024)"},"properties":{"noteIndex":0},"schema":"https://github.com/citation-style-language/schema/raw/master/csl-citation.json"}</w:instrText>
      </w:r>
      <w:r>
        <w:fldChar w:fldCharType="separate"/>
      </w:r>
      <w:r w:rsidRPr="00690888">
        <w:rPr>
          <w:noProof/>
        </w:rPr>
        <w:t>(Li et al., 2024)</w:t>
      </w:r>
      <w:r>
        <w:fldChar w:fldCharType="end"/>
      </w:r>
      <w:r>
        <w:t xml:space="preserve">. Pada akhirnya, kemampuan reflektif ini akan mendorong guru untuk terus belajar dan meningkatkan kualitas pengajaran mereka secara berkelanjutan </w:t>
      </w:r>
      <w:r>
        <w:fldChar w:fldCharType="begin" w:fldLock="1"/>
      </w:r>
      <w:r>
        <w:instrText>ADDIN CSL_CITATION {"citationItems":[{"id":"ITEM-1","itemData":{"DOI":"10.1080/13504622.2024.2348693","ISSN":"14695871","abstract":"This article brings climate communication approaches to transformational climate learning by critically evaluating an experimental climate communication retreat that brought 20 young adults from across Europe together in Austria to co-create climate communications as a constitutive dimension of climate action. Structured around the transformational principles of interdisciplinarity, multidimensionality, collaborative project-based learning, reflexivity and action-oriented, the retreat specifically focused upon the creative co-production, between peers, of climate communication as communicative meaning-making and action. The retreat experience transformed young people’s sociocultural understandings of climate change, and climate communication as meaning-making and action, and increased their self and group efficacy. The key factors contributing to these transformations were: the forging of collective identity, peer-to-peer learning, emotional sharing, reflexive spaces, inspiring learning environment, interdisciplinary learning, multidimensional experiences, and collaborative project-based communications. Situating co-created climate communication within transformational learning can help facilitate collective experiences beyond direct climate action participation, helping create education for social change.","author":[{"dropping-particle":"","family":"Doyle","given":"Julie","non-dropping-particle":"","parse-names":false,"suffix":""},{"dropping-particle":"","family":"Chiari","given":"Sybille","non-dropping-particle":"","parse-names":false,"suffix":""},{"dropping-particle":"","family":"Pearl","given":"Persephone","non-dropping-particle":"","parse-names":false,"suffix":""},{"dropping-particle":"","family":"Ellis","given":"Keith","non-dropping-particle":"","parse-names":false,"suffix":""},{"dropping-particle":"","family":"Völler","given":"Sonja","non-dropping-particle":"","parse-names":false,"suffix":""},{"dropping-particle":"","family":"Shaw","given":"Christopher","non-dropping-particle":"","parse-names":false,"suffix":""},{"dropping-particle":"","family":"Hezel","given":"Bernd","non-dropping-particle":"","parse-names":false,"suffix":""}],"container-title":"Environmental Education Research","id":"ITEM-1","issue":"0","issued":{"date-parts":[["2024"]]},"page":"1-19","publisher":"Routledge","title":"Transforming young adults’ climate learning and actions through a co-created climate communication retreat","type":"article-journal","volume":"0"},"uris":["http://www.mendeley.com/documents/?uuid=67b07234-4a52-43f7-a402-42735ebbb8cc"]}],"mendeley":{"formattedCitation":"(Doyle et al., 2024)","plainTextFormattedCitation":"(Doyle et al., 2024)","previouslyFormattedCitation":"(Doyle et al., 2024)"},"properties":{"noteIndex":0},"schema":"https://github.com/citation-style-language/schema/raw/master/csl-citation.json"}</w:instrText>
      </w:r>
      <w:r>
        <w:fldChar w:fldCharType="separate"/>
      </w:r>
      <w:r w:rsidRPr="00690888">
        <w:rPr>
          <w:noProof/>
        </w:rPr>
        <w:t>(Doyle et al., 2024)</w:t>
      </w:r>
      <w:r>
        <w:fldChar w:fldCharType="end"/>
      </w:r>
      <w:r>
        <w:t>.</w:t>
      </w:r>
    </w:p>
    <w:p w14:paraId="303C78D7" w14:textId="77777777" w:rsidR="0015514D" w:rsidRDefault="00C7309A" w:rsidP="0015514D">
      <w:pPr>
        <w:pStyle w:val="NormalWeb"/>
        <w:spacing w:before="0" w:beforeAutospacing="0" w:after="0" w:afterAutospacing="0"/>
        <w:ind w:firstLine="709"/>
        <w:jc w:val="both"/>
      </w:pPr>
      <w:r>
        <w:t xml:space="preserve">Keberhasilan menerapkan praktik guru reflektif juga tergantung pada kemampuan guru dalam menciptakan pengajaran yang sesuai dengan </w:t>
      </w:r>
      <w:r>
        <w:rPr>
          <w:rStyle w:val="Emphasis"/>
        </w:rPr>
        <w:t>style</w:t>
      </w:r>
      <w:r>
        <w:t xml:space="preserve"> guru. Dengan memahami gaya mengajarnya sendiri, guru dapat menyesuaikan metode yang efektif dan nyaman untuk digunakan dalam kelas </w:t>
      </w:r>
      <w:r>
        <w:fldChar w:fldCharType="begin" w:fldLock="1"/>
      </w:r>
      <w:r>
        <w:instrText>ADDIN CSL_CITATION {"citationItems":[{"id":"ITEM-1","itemData":{"DOI":"10.1016/j.jhlste.2023.100432","ISSN":"14738376","abstract":"The present study analyses how experiencing challenge-based learning (CBL) may affect student teachers' basic psychological needs and the perceptions of their teachers’ styles in comparison with being involved in a traditional teaching (TT) methodology. A quasi-experimental study with experimental and control groups was carried out. A total of 128 responses (ncontrol = 71; nexperimental = 57) were reported by 83 student teachers from the Physical Activity and Sport Sciences Degree (Mage = 20.07, SD = 1.82; range = 17–27 years) who completed some self-reported validated questionnaires. Analyses based on non-parametric test to compare independent and related groups showed that, after the 14-week intervention, student teachers in the CBL condition exhibited higher competence satisfaction (MCBL = 4.21vs.MTT = 3.80) and lower competence (MCBL = 1.87 vs. MTT = 2.46) and relatedness (MCBL = 1.58 vs. MTT= 1.99) frustration than the TT group. As for teaching styles, student teachers in the CBL-based experience perceived their professors as using more strategies supportive of autonomy and structure than student teachers in the TT group. The results of the study outline that CBL might be a valid methodological approach for student teachers to achieve motivational consequences in university context and in their future as teachers.","author":[{"dropping-particle":"","family":"Franco","given":"Evelia","non-dropping-particle":"","parse-names":false,"suffix":""},{"dropping-particle":"","family":"González-Peño","given":"Alba","non-dropping-particle":"","parse-names":false,"suffix":""},{"dropping-particle":"","family":"Trucharte","given":"Paloma","non-dropping-particle":"","parse-names":false,"suffix":""},{"dropping-particle":"","family":"Martínez-Majolero","given":"Víctor","non-dropping-particle":"","parse-names":false,"suffix":""}],"container-title":"Journal of Hospitality, Leisure, Sport and Tourism Education","id":"ITEM-1","issue":"January","issued":{"date-parts":[["2023"]]},"title":"Challenge-based learning approach to teach sports: Exploring perceptions of teaching styles and motivational experiences among student teachers","type":"article-journal","volume":"32"},"uris":["http://www.mendeley.com/documents/?uuid=65cbcc79-058c-4fe1-b621-bc0ef17cdf44"]}],"mendeley":{"formattedCitation":"(Franco et al., 2023)","plainTextFormattedCitation":"(Franco et al., 2023)","previouslyFormattedCitation":"(Franco et al., 2023)"},"properties":{"noteIndex":0},"schema":"https://github.com/citation-style-language/schema/raw/master/csl-citation.json"}</w:instrText>
      </w:r>
      <w:r>
        <w:fldChar w:fldCharType="separate"/>
      </w:r>
      <w:r w:rsidRPr="00715CC1">
        <w:rPr>
          <w:noProof/>
        </w:rPr>
        <w:t>(Franco et al., 2023)</w:t>
      </w:r>
      <w:r>
        <w:fldChar w:fldCharType="end"/>
      </w:r>
      <w:r>
        <w:t xml:space="preserve">. Hal ini memungkinkan guru untuk mengelola kelas dengan lebih percaya diri dan autentik, sehingga siswa merasa lebih terhubung dengan pembelajaran. Gaya yang sesuai juga membantu guru mengevaluasi keberhasilan strategi pengajaran secara lebih jujur dan akurat </w:t>
      </w:r>
      <w:r>
        <w:fldChar w:fldCharType="begin" w:fldLock="1"/>
      </w:r>
      <w:r>
        <w:instrText>ADDIN CSL_CITATION {"citationItems":[{"id":"ITEM-1","itemData":{"DOI":"10.29333/EJMSTE/10977","ISSN":"13058223","abstract":"This study investigated the organizational impact of computer technology on four secondary science teachers’ teaching actions using the construct of community of practice. The organizational impact of computer technology refers to teachers’ styles and creativity in constructing personally pertinent individual models of teaching when using computer technology: social participation structures. Analysis of data (observations and interviews) revealed three social participation structures that collectively orchestrated students’ science content learning: (1) students’ membership, (2) access to the structured tasks, and (3) confirmation of students’ learning of science concepts. This study indicated that the transformative potential of computer technology for teaching science is a complex interplay between social participation structures, institutional context, and teachers’ knowledge of what is good practice.","author":[{"dropping-particle":"","family":"Subramaniam","given":"Karthigeyan","non-dropping-particle":"","parse-names":false,"suffix":""}],"container-title":"Eurasia Journal of Mathematics, Science and Technology Education","id":"ITEM-1","issue":"7","issued":{"date-parts":[["2021"]]},"page":"1-9","title":"An Investigation of the Organizational Impact of Computer Technology in Secondary Science Classrooms","type":"article-journal","volume":"17"},"uris":["http://www.mendeley.com/documents/?uuid=5c074c1a-6e3e-46de-a5ca-e21570d430de"]}],"mendeley":{"formattedCitation":"(Subramaniam, 2021)","plainTextFormattedCitation":"(Subramaniam, 2021)","previouslyFormattedCitation":"(Subramaniam, 2021)"},"properties":{"noteIndex":0},"schema":"https://github.com/citation-style-language/schema/raw/master/csl-citation.json"}</w:instrText>
      </w:r>
      <w:r>
        <w:fldChar w:fldCharType="separate"/>
      </w:r>
      <w:r w:rsidRPr="00715CC1">
        <w:rPr>
          <w:noProof/>
        </w:rPr>
        <w:t>(Subramaniam, 2021)</w:t>
      </w:r>
      <w:r>
        <w:fldChar w:fldCharType="end"/>
      </w:r>
      <w:r>
        <w:t xml:space="preserve">. Pada akhirnya, praktik reflektif yang berpadu dengan gaya mengajar pribadi dapat membuat pembelajaran menjadi lebih bermakna dan efektif bagi guru dan siswa </w:t>
      </w:r>
      <w:r>
        <w:fldChar w:fldCharType="begin" w:fldLock="1"/>
      </w:r>
      <w:r>
        <w:instrText>ADDIN CSL_CITATION {"citationItems":[{"id":"ITEM-1","itemData":{"DOI":"10.3390/s21010241","ISSN":"14248220","PMID":"33401482","abstract":"In-class teaching evaluation, which is utilized to assess the process and effect of both teachers’ teaching and students’ learning in a classroom environment, plays an increasingly crucial role in supervising and promoting education quality. With the rapid development of artificial intelligence (AI) technology, the concept of smart education has been constantly improved and gradually penetrated into all aspects of education application. Considering the dominant position of classroom teaching in elementary and undergraduate education, the introduction of AI technology into inclass teaching evaluation has become a research hotspot. In this paper, we propose a statistical modeling and ensemble learning-based comprehensive model, which is oriented towards in-class teaching evaluation by using AI technologies such as computer vision (CV) and intelligent speech recognition (ISR). Firstly, we present an index system including a set of teaching evaluation indicators combining traditional assessment scales with new values derived from CV and ISR-based AI analysis. Next, we design a comprehensive in-class teaching evaluation model by using both the analytic hierarchy process-entropy weight (AHP-EW) and AdaBoost-based ensemble learning (AdaBoost- EL) methods. Experiments not only demonstrate that the two modules in the model are respectively applicable to the calculation of indicators with different characteristics, but also verify the performance of the proposed model for AI-based in-class teaching evaluation. In this comprehensive inclass evaluation model, for students’ concentration and participation, ensemble learning module is chosen with less root mean square error (RMSE) of 8.318 and 9.375. In addition, teachers’ media usage and teachers’ type evaluated by statistical modeling module approach higher accuracy with 0.905 and 0.815. Instead, the ensemble learning approaches the accuracy of 0.73 in evaluating teachers’ style, which performs better than the statistical modeling module with the accuracy of 0.69.","author":[{"dropping-particle":"","family":"Guo","given":"Junqi","non-dropping-particle":"","parse-names":false,"suffix":""},{"dropping-particle":"","family":"Bai","given":"Ludi","non-dropping-particle":"","parse-names":false,"suffix":""},{"dropping-particle":"","family":"Yu","given":"Zehui","non-dropping-particle":"","parse-names":false,"suffix":""},{"dropping-particle":"","family":"Zhao","given":"Ziyun","non-dropping-particle":"","parse-names":false,"suffix":""},{"dropping-particle":"","family":"Wan","given":"Boxin","non-dropping-particle":"","parse-names":false,"suffix":""}],"container-title":"Sensors (Switzerland)","id":"ITEM-1","issue":"1","issued":{"date-parts":[["2021"]]},"page":"1-28","title":"An AI-application-oriented in-class teaching evaluation model by using statistical modeling and ensemble learning","type":"article-journal","volume":"21"},"uris":["http://www.mendeley.com/documents/?uuid=25b7c8bc-87e2-48e3-a994-486341f1575e"]},{"id":"ITEM-2","itemData":{"DOI":"10.4108/eai.30-11-2023.2346947","author":[{"dropping-particle":"","family":"Faisal","given":"Faisal","non-dropping-particle":"","parse-names":false,"suffix":""},{"dropping-particle":"","family":"Ananda","given":"Lala","non-dropping-particle":"","parse-names":false,"suffix":""},{"dropping-particle":"","family":"Damanik","given":"Suri","non-dropping-particle":"","parse-names":false,"suffix":""},{"dropping-particle":"","family":"Lova","given":"Stelly","non-dropping-particle":"","parse-names":false,"suffix":""}],"id":"ITEM-2","issued":{"date-parts":[["2024"]]},"title":"Efforts to Produce Teacher Candidates and Reflective Supervisors Using the IMPRECI Model in Pre-service PPL PPG Universitas Negeri Medan","type":"article-journal"},"uris":["http://www.mendeley.com/documents/?uuid=678560d6-6c18-4fae-a873-839508f5b3cf"]}],"mendeley":{"formattedCitation":"(Faisal et al., 2024; Guo et al., 2021)","plainTextFormattedCitation":"(Faisal et al., 2024; Guo et al., 2021)","previouslyFormattedCitation":"(Faisal et al., 2024; Guo et al., 2021)"},"properties":{"noteIndex":0},"schema":"https://github.com/citation-style-language/schema/raw/master/csl-citation.json"}</w:instrText>
      </w:r>
      <w:r>
        <w:fldChar w:fldCharType="separate"/>
      </w:r>
      <w:r w:rsidRPr="0009796F">
        <w:rPr>
          <w:noProof/>
        </w:rPr>
        <w:t>(Faisal et al., 2024; Guo et al., 2021)</w:t>
      </w:r>
      <w:r>
        <w:fldChar w:fldCharType="end"/>
      </w:r>
      <w:r>
        <w:t>.</w:t>
      </w:r>
    </w:p>
    <w:p w14:paraId="68255220" w14:textId="77777777" w:rsidR="0015514D" w:rsidRDefault="00C7309A" w:rsidP="0015514D">
      <w:pPr>
        <w:pStyle w:val="NormalWeb"/>
        <w:spacing w:before="0" w:beforeAutospacing="0" w:after="0" w:afterAutospacing="0"/>
        <w:ind w:firstLine="709"/>
        <w:jc w:val="both"/>
      </w:pPr>
      <w:r>
        <w:t xml:space="preserve">Meskipun refleksi diri diakui penting dalam pendidikan modern, banyak guru masih kesulitan melakukannya secara </w:t>
      </w:r>
      <w:r>
        <w:lastRenderedPageBreak/>
        <w:t>konsisten dalam praktik sehari-hari. Tuntutan administrasi, jadwal mengajar yang padat, serta kebutuhan untuk mencapai target kurikulum sering kali mengurangi waktu yang bisa dihabiskan untuk refleksi. Padahal, refleksi diri membantu guru memahami apa yang berjalan baik dan apa yang perlu diperbaiki dalam pengajaran mereka. Sayangnya, refleksi yang seharusnya menjadi bagian tak terpisahkan dari proses mengajar sering terabaikan di tengah kesibukan ini. Akibatnya, peluang untuk mengembangkan pengajaran yang lebih efektif melalui refleksi diri belum sepenuhnya terwujud.</w:t>
      </w:r>
    </w:p>
    <w:p w14:paraId="4669BC99" w14:textId="77777777" w:rsidR="0015514D" w:rsidRDefault="00C7309A" w:rsidP="0015514D">
      <w:pPr>
        <w:pStyle w:val="NormalWeb"/>
        <w:spacing w:before="0" w:beforeAutospacing="0" w:after="0" w:afterAutospacing="0"/>
        <w:ind w:firstLine="709"/>
        <w:jc w:val="both"/>
      </w:pPr>
      <w:r>
        <w:t>Belum semua guru memiliki kemampuan reflektif yang memadai untuk menyesuaikan pengajaran dengan kebutuhan siswa dan perubahan kurikulum secara efektif. Banyak guru masih kurang terbiasa atau merasa belum cukup terlatih dalam mengevaluasi praktik mengajar secara kritis dan mendalam. Padahal, kemampuan reflektif ini menjadi kunci bagi guru untuk bisa menyesuaikan strategi pengajaran yang relevan sesuai dengan perubahan dan tuntutan baru dalam pendidikan. Tanpa keterampilan ini, guru sering kali kesulitan menyesuaikan pengajaran agar sesuai dengan kebutuhan unik siswa atau perubahan kurikulum. Alhasil, efektivitas pembelajaran bisa terganggu karena kurangnya penyesuaian yang seharusnya dilakukan melalui refleksi.</w:t>
      </w:r>
    </w:p>
    <w:p w14:paraId="0F179C78" w14:textId="77777777" w:rsidR="0015514D" w:rsidRDefault="00C7309A" w:rsidP="0015514D">
      <w:pPr>
        <w:pStyle w:val="NormalWeb"/>
        <w:spacing w:before="0" w:beforeAutospacing="0" w:after="0" w:afterAutospacing="0"/>
        <w:ind w:firstLine="709"/>
        <w:jc w:val="both"/>
      </w:pPr>
      <w:r>
        <w:t>Proses pembelajaran yang efektif dan relevan sering kali belum sepenuhnya terwujud karena kurangnya pendekatan reflektif yang tepat bagi guru. Banyak guru yang mungkin ingin menerapkan refleksi dalam pengajaran, tetapi tidak tahu cara melakukannya secara efektif. Tanpa pendekatan yang jelas dan terstruktur, refleksi bisa menjadi sekadar rutinitas tanpa hasil nyata dalam pengembangan pengajaran. Akibatnya, pembelajaran tidak mengalami perubahan signifikan yang seharusnya dihasilkan dari refleksi. Ini menunjukkan betapa pentingnya dukungan yang lebih kuat agar pendekatan reflektif dapat diimplementasikan dengan baik oleh para guru.</w:t>
      </w:r>
    </w:p>
    <w:p w14:paraId="333E65F3" w14:textId="77777777" w:rsidR="0015514D" w:rsidRDefault="00C7309A" w:rsidP="0015514D">
      <w:pPr>
        <w:pStyle w:val="NormalWeb"/>
        <w:spacing w:before="0" w:beforeAutospacing="0" w:after="0" w:afterAutospacing="0"/>
        <w:ind w:firstLine="709"/>
        <w:jc w:val="both"/>
      </w:pPr>
      <w:r>
        <w:lastRenderedPageBreak/>
        <w:t>Guru sering kekurangan panduan atau inspirasi konkret dalam memanfaatkan pendekatan reflektif yang relevan dari pengalaman mengajar sebelumnya. Banyak guru yang mungkin memiliki pengalaman mengajar bertahun-tahun, tetapi kurang mendapatkan panduan untuk merangkai pengalaman tersebut menjadi refleksi yang bermanfaat. Padahal, pengalaman-pengalaman ini dapat memberikan insight berharga jika dipahami dan dievaluasi dengan benar. Tanpa panduan, guru bisa kesulitan dalam melihat pola atau pelajaran penting dari pengalaman mereka sendiri. Oleh karena itu, adanya inspirasi konkret atau panduan reflektif yang jelas sangat penting untuk membantu guru menerapkan refleksi diri dengan efektif.</w:t>
      </w:r>
    </w:p>
    <w:p w14:paraId="1D1E7DBC" w14:textId="7BD9E59A" w:rsidR="00FB2ACC" w:rsidRDefault="00C7309A" w:rsidP="0015514D">
      <w:pPr>
        <w:pStyle w:val="NormalWeb"/>
        <w:spacing w:before="0" w:beforeAutospacing="0" w:after="0" w:afterAutospacing="0"/>
        <w:ind w:firstLine="709"/>
        <w:jc w:val="both"/>
      </w:pPr>
      <w:r>
        <w:t xml:space="preserve">Kesenjangan juga muncul karena belum banyak metode yang mendukung guru dalam menyesuaikan praktik reflektif dengan </w:t>
      </w:r>
      <w:r>
        <w:rPr>
          <w:rStyle w:val="Emphasis"/>
        </w:rPr>
        <w:t>style</w:t>
      </w:r>
      <w:r>
        <w:t xml:space="preserve"> atau gaya pengajaran mereka masing-masing. Gaya mengajar yang berbeda-beda membuat setiap guru membutuhkan pendekatan reflektif yang sesuai dengan karakter mereka sendiri. Sayangnya, metode refleksi yang ada sering kali bersifat umum dan tidak mempertimbangkan variasi dalam gaya mengajar. Akibatnya, guru merasa bahwa refleksi diri menjadi beban tambahan, bukan sebagai alat untuk memperkaya dan memperkuat pengajaran mereka. Dukungan berupa metode refleksi yang lebih fleksibel dan sesuai dengan </w:t>
      </w:r>
      <w:r>
        <w:rPr>
          <w:rStyle w:val="Emphasis"/>
        </w:rPr>
        <w:t>style</w:t>
      </w:r>
      <w:r>
        <w:t xml:space="preserve"> masing-masing guru akan sangat membantu dalam menjadikan refleksi sebagai bagian yang natural dalam proses pengajaran.</w:t>
      </w:r>
    </w:p>
    <w:p w14:paraId="338B02CA" w14:textId="2178FCA5" w:rsidR="001B0435" w:rsidRDefault="001B0435" w:rsidP="0015514D">
      <w:pPr>
        <w:pStyle w:val="NormalWeb"/>
        <w:spacing w:before="0" w:beforeAutospacing="0" w:after="0" w:afterAutospacing="0"/>
        <w:ind w:firstLine="709"/>
        <w:jc w:val="both"/>
        <w:rPr>
          <w:color w:val="000000"/>
        </w:rPr>
      </w:pPr>
      <w:r>
        <w:t xml:space="preserve">Riset ini penting karena pendekatan IAM </w:t>
      </w:r>
      <w:r>
        <w:rPr>
          <w:color w:val="000000"/>
        </w:rPr>
        <w:t>(</w:t>
      </w:r>
      <w:r w:rsidRPr="001D2DFD">
        <w:rPr>
          <w:i/>
          <w:iCs/>
          <w:color w:val="000000"/>
        </w:rPr>
        <w:t>Inspired, Adopt, and Mignify</w:t>
      </w:r>
      <w:r>
        <w:rPr>
          <w:color w:val="000000"/>
        </w:rPr>
        <w:t xml:space="preserve">) dapat meningkatkan kemampuan reflektif guru dalam mengajar. </w:t>
      </w:r>
      <w:r w:rsidR="00612530">
        <w:rPr>
          <w:color w:val="000000"/>
        </w:rPr>
        <w:t>P</w:t>
      </w:r>
      <w:r>
        <w:rPr>
          <w:color w:val="000000"/>
        </w:rPr>
        <w:t>endekatan IAM dapat meningkatkan keter</w:t>
      </w:r>
      <w:r w:rsidR="00612530">
        <w:rPr>
          <w:color w:val="000000"/>
        </w:rPr>
        <w:t>a</w:t>
      </w:r>
      <w:r>
        <w:rPr>
          <w:color w:val="000000"/>
        </w:rPr>
        <w:t>mpilan mengajar, berdampak terhadap hasil belajar siswa, efektif dalam meningkatkan refleksi, meningkatkan keterlibatan siswa, sesuai dengan tujuan pembelajaran, berhasil mengimplementasikan guru reflektif, sesuai dengan kurikulum dan sangat mendukung inovasi dan kreativitas dalam pembelajaran.</w:t>
      </w:r>
    </w:p>
    <w:p w14:paraId="2B512D64" w14:textId="77777777" w:rsidR="00BC3F16" w:rsidRPr="0015514D" w:rsidRDefault="00BC3F16" w:rsidP="0015514D">
      <w:pPr>
        <w:pStyle w:val="NormalWeb"/>
        <w:spacing w:before="0" w:beforeAutospacing="0" w:after="0" w:afterAutospacing="0"/>
        <w:ind w:firstLine="709"/>
        <w:jc w:val="both"/>
      </w:pPr>
    </w:p>
    <w:p w14:paraId="35CA525D" w14:textId="50E758F5" w:rsidR="002149DA" w:rsidRPr="00011957" w:rsidRDefault="00BE134B" w:rsidP="00C57FC0">
      <w:pPr>
        <w:shd w:val="clear" w:color="auto" w:fill="FFFFFF"/>
        <w:spacing w:after="0" w:line="276" w:lineRule="auto"/>
        <w:jc w:val="both"/>
        <w:rPr>
          <w:rFonts w:ascii="Times New Roman" w:eastAsia="Times New Roman" w:hAnsi="Times New Roman" w:cs="Times New Roman"/>
          <w:color w:val="000000"/>
          <w:sz w:val="24"/>
          <w:szCs w:val="24"/>
          <w:lang w:val="en-US"/>
        </w:rPr>
      </w:pPr>
      <w:r w:rsidRPr="00011957">
        <w:rPr>
          <w:rFonts w:ascii="Times New Roman" w:hAnsi="Times New Roman" w:cs="Times New Roman"/>
          <w:b/>
          <w:color w:val="000000"/>
          <w:sz w:val="24"/>
          <w:szCs w:val="24"/>
          <w:lang w:val="en-US"/>
        </w:rPr>
        <w:t>METODE PENELITIAN</w:t>
      </w:r>
    </w:p>
    <w:p w14:paraId="5555716C" w14:textId="1CD30204" w:rsidR="007F29EB" w:rsidRDefault="00612530" w:rsidP="00BC3F16">
      <w:pPr>
        <w:spacing w:after="0"/>
        <w:ind w:firstLine="709"/>
        <w:jc w:val="both"/>
        <w:rPr>
          <w:rFonts w:ascii="Times New Roman" w:hAnsi="Times New Roman" w:cs="Times New Roman"/>
          <w:sz w:val="24"/>
          <w:szCs w:val="24"/>
        </w:rPr>
      </w:pPr>
      <w:r w:rsidRPr="00A71188">
        <w:rPr>
          <w:rFonts w:ascii="Times New Roman" w:hAnsi="Times New Roman" w:cs="Times New Roman"/>
          <w:sz w:val="24"/>
          <w:szCs w:val="24"/>
        </w:rPr>
        <w:t>Penelitian ini merupakan penelitian pengembangan (</w:t>
      </w:r>
      <w:r w:rsidRPr="00A71188">
        <w:rPr>
          <w:rFonts w:ascii="Times New Roman" w:hAnsi="Times New Roman" w:cs="Times New Roman"/>
          <w:i/>
          <w:iCs/>
          <w:sz w:val="24"/>
          <w:szCs w:val="24"/>
        </w:rPr>
        <w:t>Research and Development</w:t>
      </w:r>
      <w:r w:rsidRPr="00A71188">
        <w:rPr>
          <w:rFonts w:ascii="Times New Roman" w:hAnsi="Times New Roman" w:cs="Times New Roman"/>
          <w:sz w:val="24"/>
          <w:szCs w:val="24"/>
        </w:rPr>
        <w:t>) dengan menggunakan model ADDIE, yaitu</w:t>
      </w:r>
      <w:r>
        <w:rPr>
          <w:rFonts w:ascii="Times New Roman" w:hAnsi="Times New Roman" w:cs="Times New Roman"/>
          <w:sz w:val="24"/>
          <w:szCs w:val="24"/>
        </w:rPr>
        <w:t>:</w:t>
      </w:r>
      <w:r w:rsidRPr="00A71188">
        <w:rPr>
          <w:rFonts w:ascii="Times New Roman" w:hAnsi="Times New Roman" w:cs="Times New Roman"/>
          <w:sz w:val="24"/>
          <w:szCs w:val="24"/>
        </w:rPr>
        <w:t xml:space="preserve"> </w:t>
      </w:r>
      <w:r>
        <w:rPr>
          <w:rFonts w:ascii="Times New Roman" w:hAnsi="Times New Roman" w:cs="Times New Roman"/>
          <w:sz w:val="24"/>
          <w:szCs w:val="24"/>
        </w:rPr>
        <w:t>(</w:t>
      </w:r>
      <w:r w:rsidRPr="00A71188">
        <w:rPr>
          <w:rFonts w:ascii="Times New Roman" w:hAnsi="Times New Roman" w:cs="Times New Roman"/>
          <w:sz w:val="24"/>
          <w:szCs w:val="24"/>
        </w:rPr>
        <w:t>1) analisis (</w:t>
      </w:r>
      <w:r w:rsidRPr="00A71188">
        <w:rPr>
          <w:rFonts w:ascii="Times New Roman" w:hAnsi="Times New Roman" w:cs="Times New Roman"/>
          <w:i/>
          <w:iCs/>
          <w:sz w:val="24"/>
          <w:szCs w:val="24"/>
        </w:rPr>
        <w:t>analysis</w:t>
      </w:r>
      <w:r w:rsidRPr="00A71188">
        <w:rPr>
          <w:rFonts w:ascii="Times New Roman" w:hAnsi="Times New Roman" w:cs="Times New Roman"/>
          <w:sz w:val="24"/>
          <w:szCs w:val="24"/>
        </w:rPr>
        <w:t>), (2) perancangan (</w:t>
      </w:r>
      <w:r w:rsidRPr="00A71188">
        <w:rPr>
          <w:rFonts w:ascii="Times New Roman" w:hAnsi="Times New Roman" w:cs="Times New Roman"/>
          <w:i/>
          <w:iCs/>
          <w:sz w:val="24"/>
          <w:szCs w:val="24"/>
        </w:rPr>
        <w:t>design</w:t>
      </w:r>
      <w:r w:rsidRPr="00A71188">
        <w:rPr>
          <w:rFonts w:ascii="Times New Roman" w:hAnsi="Times New Roman" w:cs="Times New Roman"/>
          <w:sz w:val="24"/>
          <w:szCs w:val="24"/>
        </w:rPr>
        <w:t>), (3) pengembangan (</w:t>
      </w:r>
      <w:r w:rsidRPr="00A71188">
        <w:rPr>
          <w:rFonts w:ascii="Times New Roman" w:hAnsi="Times New Roman" w:cs="Times New Roman"/>
          <w:i/>
          <w:iCs/>
          <w:sz w:val="24"/>
          <w:szCs w:val="24"/>
        </w:rPr>
        <w:t>development</w:t>
      </w:r>
      <w:r w:rsidRPr="00A71188">
        <w:rPr>
          <w:rFonts w:ascii="Times New Roman" w:hAnsi="Times New Roman" w:cs="Times New Roman"/>
          <w:sz w:val="24"/>
          <w:szCs w:val="24"/>
        </w:rPr>
        <w:t>), (4) implementasi (</w:t>
      </w:r>
      <w:r w:rsidRPr="00A71188">
        <w:rPr>
          <w:rFonts w:ascii="Times New Roman" w:hAnsi="Times New Roman" w:cs="Times New Roman"/>
          <w:i/>
          <w:iCs/>
          <w:sz w:val="24"/>
          <w:szCs w:val="24"/>
        </w:rPr>
        <w:t>implementation</w:t>
      </w:r>
      <w:r w:rsidRPr="00A71188">
        <w:rPr>
          <w:rFonts w:ascii="Times New Roman" w:hAnsi="Times New Roman" w:cs="Times New Roman"/>
          <w:sz w:val="24"/>
          <w:szCs w:val="24"/>
        </w:rPr>
        <w:t>), dan (5) evaluasi (</w:t>
      </w:r>
      <w:r w:rsidRPr="00A71188">
        <w:rPr>
          <w:rFonts w:ascii="Times New Roman" w:hAnsi="Times New Roman" w:cs="Times New Roman"/>
          <w:i/>
          <w:iCs/>
          <w:sz w:val="24"/>
          <w:szCs w:val="24"/>
        </w:rPr>
        <w:t>evaluation</w:t>
      </w:r>
      <w:r w:rsidRPr="00A71188">
        <w:rPr>
          <w:rFonts w:ascii="Times New Roman" w:hAnsi="Times New Roman" w:cs="Times New Roman"/>
          <w:sz w:val="24"/>
          <w:szCs w:val="24"/>
        </w:rPr>
        <w:t xml:space="preserve">). Subjek penelitian yang terlibat dalam penelitian ini ada </w:t>
      </w:r>
      <w:r w:rsidR="00071ABE">
        <w:rPr>
          <w:rFonts w:ascii="Times New Roman" w:hAnsi="Times New Roman" w:cs="Times New Roman"/>
          <w:sz w:val="24"/>
          <w:szCs w:val="24"/>
        </w:rPr>
        <w:t>1</w:t>
      </w:r>
      <w:r w:rsidRPr="00A71188">
        <w:rPr>
          <w:rFonts w:ascii="Times New Roman" w:hAnsi="Times New Roman" w:cs="Times New Roman"/>
          <w:sz w:val="24"/>
          <w:szCs w:val="24"/>
        </w:rPr>
        <w:t>0 orang</w:t>
      </w:r>
      <w:r w:rsidR="00071ABE">
        <w:rPr>
          <w:rFonts w:ascii="Times New Roman" w:hAnsi="Times New Roman" w:cs="Times New Roman"/>
          <w:sz w:val="24"/>
          <w:szCs w:val="24"/>
        </w:rPr>
        <w:t xml:space="preserve"> dengan menggunakan teknik </w:t>
      </w:r>
      <w:r w:rsidR="00071ABE" w:rsidRPr="00071ABE">
        <w:rPr>
          <w:rFonts w:ascii="Times New Roman" w:hAnsi="Times New Roman" w:cs="Times New Roman"/>
          <w:i/>
          <w:iCs/>
          <w:sz w:val="24"/>
          <w:szCs w:val="24"/>
        </w:rPr>
        <w:t>purpose sampling</w:t>
      </w:r>
      <w:r w:rsidRPr="00071ABE">
        <w:rPr>
          <w:rFonts w:ascii="Times New Roman" w:hAnsi="Times New Roman" w:cs="Times New Roman"/>
          <w:i/>
          <w:iCs/>
          <w:sz w:val="24"/>
          <w:szCs w:val="24"/>
        </w:rPr>
        <w:t xml:space="preserve">. </w:t>
      </w:r>
      <w:r w:rsidRPr="00A71188">
        <w:rPr>
          <w:rFonts w:ascii="Times New Roman" w:hAnsi="Times New Roman" w:cs="Times New Roman"/>
          <w:sz w:val="24"/>
          <w:szCs w:val="24"/>
        </w:rPr>
        <w:t xml:space="preserve">Teknik pengumpulan data dilakukan melalui kuesioner dengan menggunakan angket sebagai instrumen penelitian. Teknik analisis data yang digunakan adalah analisis data deskriptif kuantitatif dan kualitatif. Data angket dianalisis </w:t>
      </w:r>
      <w:r>
        <w:rPr>
          <w:rFonts w:ascii="Times New Roman" w:hAnsi="Times New Roman" w:cs="Times New Roman"/>
          <w:sz w:val="24"/>
          <w:szCs w:val="24"/>
        </w:rPr>
        <w:t>menggunakan skor dan persentase, kemudian dijelaskan</w:t>
      </w:r>
      <w:r w:rsidRPr="00A71188">
        <w:rPr>
          <w:rFonts w:ascii="Times New Roman" w:hAnsi="Times New Roman" w:cs="Times New Roman"/>
          <w:sz w:val="24"/>
          <w:szCs w:val="24"/>
        </w:rPr>
        <w:t xml:space="preserve"> secara kualitatif</w:t>
      </w:r>
      <w:r>
        <w:rPr>
          <w:rFonts w:ascii="Times New Roman" w:hAnsi="Times New Roman" w:cs="Times New Roman"/>
          <w:sz w:val="24"/>
          <w:szCs w:val="24"/>
        </w:rPr>
        <w:t xml:space="preserve"> menggunakan kriteria</w:t>
      </w:r>
      <w:r w:rsidRPr="00A71188">
        <w:rPr>
          <w:rFonts w:ascii="Times New Roman" w:hAnsi="Times New Roman" w:cs="Times New Roman"/>
          <w:sz w:val="24"/>
          <w:szCs w:val="24"/>
        </w:rPr>
        <w:t xml:space="preserve">. </w:t>
      </w:r>
    </w:p>
    <w:p w14:paraId="675EC218" w14:textId="77777777" w:rsidR="00BC3F16" w:rsidRPr="00612530" w:rsidRDefault="00BC3F16" w:rsidP="00BC3F16">
      <w:pPr>
        <w:spacing w:after="0"/>
        <w:ind w:firstLine="709"/>
        <w:jc w:val="both"/>
        <w:rPr>
          <w:rFonts w:ascii="Times New Roman" w:hAnsi="Times New Roman" w:cs="Times New Roman"/>
          <w:sz w:val="24"/>
          <w:szCs w:val="24"/>
        </w:rPr>
      </w:pPr>
    </w:p>
    <w:p w14:paraId="49ED1194" w14:textId="1D924C52" w:rsidR="001453C5" w:rsidRPr="00011957" w:rsidRDefault="00E91A01" w:rsidP="00BC3F16">
      <w:pPr>
        <w:spacing w:after="0" w:line="276" w:lineRule="auto"/>
        <w:ind w:right="-5"/>
        <w:rPr>
          <w:rFonts w:ascii="Times New Roman" w:hAnsi="Times New Roman" w:cs="Times New Roman"/>
          <w:b/>
          <w:bCs/>
          <w:color w:val="000000"/>
          <w:sz w:val="24"/>
          <w:szCs w:val="24"/>
        </w:rPr>
      </w:pPr>
      <w:r w:rsidRPr="00011957">
        <w:rPr>
          <w:rFonts w:ascii="Times New Roman" w:hAnsi="Times New Roman" w:cs="Times New Roman"/>
          <w:b/>
          <w:color w:val="000000"/>
          <w:sz w:val="24"/>
          <w:szCs w:val="24"/>
        </w:rPr>
        <w:t>HASIL DAN PEMBAHASAN</w:t>
      </w:r>
    </w:p>
    <w:p w14:paraId="26C83056" w14:textId="06948EE2" w:rsidR="00E91A01" w:rsidRPr="00011957" w:rsidRDefault="00612530" w:rsidP="00BC3F16">
      <w:pPr>
        <w:spacing w:after="0" w:line="276" w:lineRule="auto"/>
        <w:ind w:right="-5"/>
        <w:rPr>
          <w:rFonts w:ascii="Times New Roman" w:hAnsi="Times New Roman" w:cs="Times New Roman"/>
          <w:b/>
          <w:color w:val="000000"/>
          <w:sz w:val="24"/>
          <w:szCs w:val="24"/>
          <w:lang w:val="en-US"/>
        </w:rPr>
      </w:pPr>
      <w:r>
        <w:rPr>
          <w:rFonts w:ascii="Times New Roman" w:hAnsi="Times New Roman" w:cs="Times New Roman"/>
          <w:b/>
          <w:bCs/>
          <w:color w:val="000000"/>
          <w:sz w:val="24"/>
          <w:szCs w:val="24"/>
          <w:lang w:val="en-US"/>
        </w:rPr>
        <w:t>Hasil Penelitian</w:t>
      </w:r>
    </w:p>
    <w:p w14:paraId="1CFD39D3" w14:textId="77777777" w:rsidR="00612530" w:rsidRDefault="00612530" w:rsidP="00612530">
      <w:pPr>
        <w:spacing w:after="0" w:line="240" w:lineRule="auto"/>
        <w:ind w:firstLine="709"/>
        <w:jc w:val="both"/>
        <w:rPr>
          <w:rFonts w:ascii="Times New Roman" w:hAnsi="Times New Roman"/>
          <w:bCs/>
          <w:sz w:val="24"/>
          <w:szCs w:val="24"/>
        </w:rPr>
      </w:pPr>
      <w:r w:rsidRPr="00075DD9">
        <w:rPr>
          <w:rFonts w:ascii="Times New Roman" w:hAnsi="Times New Roman"/>
          <w:bCs/>
          <w:sz w:val="24"/>
          <w:szCs w:val="24"/>
        </w:rPr>
        <w:lastRenderedPageBreak/>
        <w:t xml:space="preserve">Uji efektivitas bertujuan untuk mengevaluasi dampak model terhadap kualitas pembelajaran dan hasil belajar siswa. Ini melibatkan pengukuran apakah model ini berhasil meningkatkan keterampilan reflektif guru dan hasil belajar siswa dalam </w:t>
      </w:r>
      <w:r>
        <w:rPr>
          <w:rFonts w:ascii="Times New Roman" w:hAnsi="Times New Roman"/>
          <w:bCs/>
          <w:sz w:val="24"/>
          <w:szCs w:val="24"/>
        </w:rPr>
        <w:t>pembelajaran</w:t>
      </w:r>
      <w:r w:rsidRPr="00075DD9">
        <w:rPr>
          <w:rFonts w:ascii="Times New Roman" w:hAnsi="Times New Roman"/>
          <w:bCs/>
          <w:sz w:val="24"/>
          <w:szCs w:val="24"/>
        </w:rPr>
        <w:t>.</w:t>
      </w:r>
    </w:p>
    <w:p w14:paraId="39A01ECE" w14:textId="77777777" w:rsidR="00612530" w:rsidRDefault="00612530" w:rsidP="00612530">
      <w:pPr>
        <w:spacing w:after="0" w:line="240" w:lineRule="auto"/>
        <w:ind w:firstLine="709"/>
        <w:jc w:val="both"/>
        <w:rPr>
          <w:rFonts w:ascii="Times New Roman" w:hAnsi="Times New Roman"/>
          <w:bCs/>
          <w:sz w:val="24"/>
          <w:szCs w:val="24"/>
        </w:rPr>
      </w:pPr>
      <w:r w:rsidRPr="00075DD9">
        <w:rPr>
          <w:rFonts w:ascii="Times New Roman" w:hAnsi="Times New Roman"/>
          <w:bCs/>
          <w:sz w:val="24"/>
          <w:szCs w:val="24"/>
        </w:rPr>
        <w:t>Langkah-</w:t>
      </w:r>
      <w:r>
        <w:rPr>
          <w:rFonts w:ascii="Times New Roman" w:hAnsi="Times New Roman"/>
          <w:bCs/>
          <w:sz w:val="24"/>
          <w:szCs w:val="24"/>
        </w:rPr>
        <w:t>l</w:t>
      </w:r>
      <w:r w:rsidRPr="00075DD9">
        <w:rPr>
          <w:rFonts w:ascii="Times New Roman" w:hAnsi="Times New Roman"/>
          <w:bCs/>
          <w:sz w:val="24"/>
          <w:szCs w:val="24"/>
        </w:rPr>
        <w:t>angkah uji efektivitas:</w:t>
      </w:r>
      <w:r>
        <w:rPr>
          <w:rFonts w:ascii="Times New Roman" w:hAnsi="Times New Roman"/>
          <w:bCs/>
          <w:sz w:val="24"/>
          <w:szCs w:val="24"/>
        </w:rPr>
        <w:t xml:space="preserve"> (1) </w:t>
      </w:r>
      <w:r w:rsidRPr="00075DD9">
        <w:rPr>
          <w:rFonts w:ascii="Times New Roman" w:hAnsi="Times New Roman"/>
          <w:bCs/>
          <w:sz w:val="24"/>
          <w:szCs w:val="24"/>
        </w:rPr>
        <w:t>Pengumpulan Data Hasil Belajar: Mengukur perubahan dalam hasil belajar siswa sebelum dan sesudah penerapan model.</w:t>
      </w:r>
      <w:r>
        <w:rPr>
          <w:rFonts w:ascii="Times New Roman" w:hAnsi="Times New Roman"/>
          <w:bCs/>
          <w:sz w:val="24"/>
          <w:szCs w:val="24"/>
        </w:rPr>
        <w:t xml:space="preserve"> (2) </w:t>
      </w:r>
      <w:r w:rsidRPr="00075DD9">
        <w:rPr>
          <w:rFonts w:ascii="Times New Roman" w:hAnsi="Times New Roman"/>
          <w:bCs/>
          <w:sz w:val="24"/>
          <w:szCs w:val="24"/>
        </w:rPr>
        <w:t>Evaluasi Kinerja Guru: Menilai peningkatan keterampilan reflektif dan kemampuan pengajaran guru setelah menggunakan model.</w:t>
      </w:r>
      <w:r>
        <w:rPr>
          <w:rFonts w:ascii="Times New Roman" w:hAnsi="Times New Roman"/>
          <w:bCs/>
          <w:sz w:val="24"/>
          <w:szCs w:val="24"/>
        </w:rPr>
        <w:t xml:space="preserve"> (3) </w:t>
      </w:r>
      <w:r w:rsidRPr="00075DD9">
        <w:rPr>
          <w:rFonts w:ascii="Times New Roman" w:hAnsi="Times New Roman"/>
          <w:bCs/>
          <w:sz w:val="24"/>
          <w:szCs w:val="24"/>
        </w:rPr>
        <w:t>Analisis Data: Menggunakan metode statistik untuk menganalisis data hasil belajar siswa dan kinerja guru guna menilai dampak model.</w:t>
      </w:r>
      <w:r>
        <w:rPr>
          <w:rFonts w:ascii="Times New Roman" w:hAnsi="Times New Roman"/>
          <w:bCs/>
          <w:sz w:val="24"/>
          <w:szCs w:val="24"/>
        </w:rPr>
        <w:t xml:space="preserve"> </w:t>
      </w:r>
    </w:p>
    <w:p w14:paraId="3571A1C3" w14:textId="77777777" w:rsidR="00E33D98" w:rsidRDefault="00612530" w:rsidP="00F828BC">
      <w:pPr>
        <w:spacing w:after="0" w:line="240" w:lineRule="auto"/>
        <w:ind w:firstLine="709"/>
        <w:jc w:val="both"/>
        <w:rPr>
          <w:rFonts w:ascii="Times New Roman" w:hAnsi="Times New Roman"/>
          <w:sz w:val="24"/>
          <w:szCs w:val="24"/>
        </w:rPr>
      </w:pPr>
      <w:r>
        <w:rPr>
          <w:rFonts w:ascii="Times New Roman" w:hAnsi="Times New Roman"/>
          <w:bCs/>
          <w:sz w:val="24"/>
          <w:szCs w:val="24"/>
        </w:rPr>
        <w:t xml:space="preserve">Hasil uji efektivitas </w:t>
      </w:r>
      <w:r w:rsidRPr="00F7169D">
        <w:rPr>
          <w:rFonts w:ascii="Times New Roman" w:hAnsi="Times New Roman"/>
          <w:sz w:val="24"/>
          <w:szCs w:val="24"/>
        </w:rPr>
        <w:t>pengembangan model guru reflektif dengan pendekatan IAM (</w:t>
      </w:r>
      <w:r w:rsidRPr="00474804">
        <w:rPr>
          <w:rFonts w:ascii="Times New Roman" w:hAnsi="Times New Roman"/>
          <w:i/>
          <w:iCs/>
          <w:sz w:val="24"/>
          <w:szCs w:val="24"/>
        </w:rPr>
        <w:t>Inspired, Adopt, and Magnify</w:t>
      </w:r>
      <w:r w:rsidRPr="00F7169D">
        <w:rPr>
          <w:rFonts w:ascii="Times New Roman" w:hAnsi="Times New Roman"/>
          <w:sz w:val="24"/>
          <w:szCs w:val="24"/>
        </w:rPr>
        <w:t xml:space="preserve">) </w:t>
      </w:r>
      <w:r>
        <w:rPr>
          <w:rFonts w:ascii="Times New Roman" w:hAnsi="Times New Roman"/>
          <w:sz w:val="24"/>
          <w:szCs w:val="24"/>
        </w:rPr>
        <w:t>dapat dilihat pada Tabel 1 berikut</w:t>
      </w:r>
      <w:r w:rsidR="00F828BC">
        <w:rPr>
          <w:rFonts w:ascii="Times New Roman" w:hAnsi="Times New Roman"/>
          <w:sz w:val="24"/>
          <w:szCs w:val="24"/>
        </w:rPr>
        <w:t>.</w:t>
      </w:r>
    </w:p>
    <w:p w14:paraId="314C9697" w14:textId="77777777" w:rsidR="00BC3F16" w:rsidRDefault="00BC3F16" w:rsidP="00F828BC">
      <w:pPr>
        <w:spacing w:after="0" w:line="240" w:lineRule="auto"/>
        <w:ind w:firstLine="709"/>
        <w:jc w:val="both"/>
        <w:rPr>
          <w:rFonts w:ascii="Times New Roman" w:hAnsi="Times New Roman"/>
          <w:sz w:val="24"/>
          <w:szCs w:val="24"/>
        </w:rPr>
      </w:pPr>
    </w:p>
    <w:p w14:paraId="4601AA35" w14:textId="01E7D9E4" w:rsidR="00BC3F16" w:rsidRPr="00F828BC" w:rsidRDefault="00BC3F16" w:rsidP="00F828BC">
      <w:pPr>
        <w:spacing w:after="0" w:line="240" w:lineRule="auto"/>
        <w:ind w:firstLine="709"/>
        <w:jc w:val="both"/>
        <w:rPr>
          <w:rFonts w:ascii="Times New Roman" w:hAnsi="Times New Roman"/>
          <w:bCs/>
          <w:sz w:val="24"/>
          <w:szCs w:val="24"/>
        </w:rPr>
        <w:sectPr w:rsidR="00BC3F16" w:rsidRPr="00F828BC" w:rsidSect="00877E3C">
          <w:footerReference w:type="even" r:id="rId14"/>
          <w:type w:val="continuous"/>
          <w:pgSz w:w="11906" w:h="16838" w:code="9"/>
          <w:pgMar w:top="1440" w:right="1440" w:bottom="1440" w:left="1440" w:header="845" w:footer="709" w:gutter="0"/>
          <w:pgNumType w:start="284"/>
          <w:cols w:num="2" w:space="282"/>
          <w:docGrid w:linePitch="299"/>
        </w:sectPr>
      </w:pPr>
    </w:p>
    <w:p w14:paraId="11065295" w14:textId="4D0E10FE" w:rsidR="00D4693A" w:rsidRPr="005455FE" w:rsidRDefault="00E07227" w:rsidP="00F828BC">
      <w:pPr>
        <w:pStyle w:val="NormalWeb"/>
        <w:shd w:val="clear" w:color="auto" w:fill="FFFFFF"/>
        <w:spacing w:before="0" w:beforeAutospacing="0" w:after="0" w:afterAutospacing="0" w:line="276" w:lineRule="auto"/>
        <w:jc w:val="center"/>
        <w:rPr>
          <w:b/>
          <w:bCs/>
        </w:rPr>
      </w:pPr>
      <w:r w:rsidRPr="005455FE">
        <w:rPr>
          <w:b/>
          <w:bCs/>
        </w:rPr>
        <w:lastRenderedPageBreak/>
        <w:t xml:space="preserve">Tabel 1. </w:t>
      </w:r>
      <w:r w:rsidR="00612530" w:rsidRPr="00B67C36">
        <w:rPr>
          <w:b/>
          <w:bCs/>
        </w:rPr>
        <w:t xml:space="preserve">Hasil Uji </w:t>
      </w:r>
      <w:r w:rsidR="00612530">
        <w:rPr>
          <w:b/>
          <w:bCs/>
        </w:rPr>
        <w:t>Efektivitas Pendekatan IAM</w:t>
      </w:r>
    </w:p>
    <w:tbl>
      <w:tblPr>
        <w:tblW w:w="9072" w:type="dxa"/>
        <w:tblBorders>
          <w:top w:val="single" w:sz="4" w:space="0" w:color="auto"/>
          <w:bottom w:val="single" w:sz="4" w:space="0" w:color="auto"/>
        </w:tblBorders>
        <w:tblLook w:val="04A0" w:firstRow="1" w:lastRow="0" w:firstColumn="1" w:lastColumn="0" w:noHBand="0" w:noVBand="1"/>
      </w:tblPr>
      <w:tblGrid>
        <w:gridCol w:w="576"/>
        <w:gridCol w:w="4824"/>
        <w:gridCol w:w="1309"/>
        <w:gridCol w:w="2363"/>
      </w:tblGrid>
      <w:tr w:rsidR="000B4FB9" w:rsidRPr="00BC3F16" w14:paraId="1B78E3AC" w14:textId="77777777" w:rsidTr="00F828BC">
        <w:tc>
          <w:tcPr>
            <w:tcW w:w="576" w:type="dxa"/>
            <w:tcBorders>
              <w:top w:val="nil"/>
              <w:bottom w:val="single" w:sz="4" w:space="0" w:color="auto"/>
            </w:tcBorders>
            <w:shd w:val="clear" w:color="auto" w:fill="auto"/>
            <w:vAlign w:val="center"/>
          </w:tcPr>
          <w:p w14:paraId="3A9AD281" w14:textId="77777777" w:rsidR="00D4693A" w:rsidRPr="00BC3F16" w:rsidRDefault="00D4693A" w:rsidP="00C57FC0">
            <w:pPr>
              <w:pStyle w:val="NormalWeb"/>
              <w:spacing w:before="0" w:beforeAutospacing="0" w:after="0" w:afterAutospacing="0" w:line="276" w:lineRule="auto"/>
              <w:jc w:val="center"/>
              <w:rPr>
                <w:b/>
                <w:bCs/>
              </w:rPr>
            </w:pPr>
            <w:r w:rsidRPr="00BC3F16">
              <w:rPr>
                <w:b/>
                <w:bCs/>
              </w:rPr>
              <w:t>No.</w:t>
            </w:r>
          </w:p>
        </w:tc>
        <w:tc>
          <w:tcPr>
            <w:tcW w:w="4919" w:type="dxa"/>
            <w:tcBorders>
              <w:top w:val="nil"/>
              <w:bottom w:val="single" w:sz="4" w:space="0" w:color="auto"/>
            </w:tcBorders>
            <w:shd w:val="clear" w:color="auto" w:fill="auto"/>
            <w:vAlign w:val="center"/>
          </w:tcPr>
          <w:p w14:paraId="608A776D" w14:textId="77777777" w:rsidR="00D4693A" w:rsidRPr="00BC3F16" w:rsidRDefault="00D4693A" w:rsidP="00C57FC0">
            <w:pPr>
              <w:pStyle w:val="NormalWeb"/>
              <w:spacing w:before="0" w:beforeAutospacing="0" w:after="0" w:afterAutospacing="0" w:line="276" w:lineRule="auto"/>
              <w:jc w:val="center"/>
              <w:rPr>
                <w:b/>
                <w:bCs/>
              </w:rPr>
            </w:pPr>
            <w:r w:rsidRPr="00BC3F16">
              <w:rPr>
                <w:b/>
                <w:bCs/>
              </w:rPr>
              <w:t>Aspek yang Diamati</w:t>
            </w:r>
          </w:p>
        </w:tc>
        <w:tc>
          <w:tcPr>
            <w:tcW w:w="1183" w:type="dxa"/>
            <w:tcBorders>
              <w:top w:val="nil"/>
              <w:bottom w:val="single" w:sz="4" w:space="0" w:color="auto"/>
            </w:tcBorders>
            <w:shd w:val="clear" w:color="auto" w:fill="auto"/>
            <w:vAlign w:val="center"/>
          </w:tcPr>
          <w:p w14:paraId="3B148543" w14:textId="77777777" w:rsidR="00D4693A" w:rsidRPr="00BC3F16" w:rsidRDefault="00D4693A" w:rsidP="00C57FC0">
            <w:pPr>
              <w:pStyle w:val="NormalWeb"/>
              <w:spacing w:before="0" w:beforeAutospacing="0" w:after="0" w:afterAutospacing="0" w:line="276" w:lineRule="auto"/>
              <w:jc w:val="center"/>
              <w:rPr>
                <w:b/>
                <w:bCs/>
              </w:rPr>
            </w:pPr>
            <w:r w:rsidRPr="00BC3F16">
              <w:rPr>
                <w:b/>
                <w:bCs/>
              </w:rPr>
              <w:t>Persentase (%)</w:t>
            </w:r>
          </w:p>
        </w:tc>
        <w:tc>
          <w:tcPr>
            <w:tcW w:w="2394" w:type="dxa"/>
            <w:tcBorders>
              <w:top w:val="nil"/>
              <w:bottom w:val="single" w:sz="4" w:space="0" w:color="auto"/>
            </w:tcBorders>
            <w:shd w:val="clear" w:color="auto" w:fill="auto"/>
            <w:vAlign w:val="center"/>
          </w:tcPr>
          <w:p w14:paraId="1D492E10" w14:textId="77777777" w:rsidR="00D4693A" w:rsidRPr="00BC3F16" w:rsidRDefault="00D4693A" w:rsidP="00C57FC0">
            <w:pPr>
              <w:pStyle w:val="NormalWeb"/>
              <w:spacing w:before="0" w:beforeAutospacing="0" w:after="0" w:afterAutospacing="0" w:line="276" w:lineRule="auto"/>
              <w:jc w:val="center"/>
              <w:rPr>
                <w:b/>
                <w:bCs/>
              </w:rPr>
            </w:pPr>
            <w:r w:rsidRPr="00BC3F16">
              <w:rPr>
                <w:b/>
                <w:bCs/>
              </w:rPr>
              <w:t>Kategori</w:t>
            </w:r>
          </w:p>
        </w:tc>
      </w:tr>
      <w:tr w:rsidR="00F828BC" w:rsidRPr="00BC3F16" w14:paraId="1F614B11" w14:textId="77777777" w:rsidTr="00F828BC">
        <w:tc>
          <w:tcPr>
            <w:tcW w:w="576" w:type="dxa"/>
            <w:tcBorders>
              <w:top w:val="single" w:sz="4" w:space="0" w:color="auto"/>
              <w:bottom w:val="nil"/>
            </w:tcBorders>
            <w:shd w:val="clear" w:color="auto" w:fill="auto"/>
          </w:tcPr>
          <w:p w14:paraId="07C2F862" w14:textId="77777777" w:rsidR="00F828BC" w:rsidRPr="00BC3F16" w:rsidRDefault="00F828BC" w:rsidP="00F828BC">
            <w:pPr>
              <w:pStyle w:val="NormalWeb"/>
              <w:spacing w:before="0" w:beforeAutospacing="0" w:after="0" w:afterAutospacing="0" w:line="276" w:lineRule="auto"/>
              <w:jc w:val="center"/>
            </w:pPr>
            <w:r w:rsidRPr="00BC3F16">
              <w:t>1.</w:t>
            </w:r>
          </w:p>
        </w:tc>
        <w:tc>
          <w:tcPr>
            <w:tcW w:w="4919" w:type="dxa"/>
            <w:tcBorders>
              <w:top w:val="single" w:sz="4" w:space="0" w:color="auto"/>
              <w:bottom w:val="nil"/>
            </w:tcBorders>
            <w:shd w:val="clear" w:color="auto" w:fill="auto"/>
            <w:vAlign w:val="center"/>
          </w:tcPr>
          <w:p w14:paraId="5DBF723C" w14:textId="406D613E" w:rsidR="00F828BC" w:rsidRPr="00BC3F16" w:rsidRDefault="00F828BC" w:rsidP="00F828BC">
            <w:pPr>
              <w:pStyle w:val="NormalWeb"/>
              <w:spacing w:before="0" w:beforeAutospacing="0" w:after="0" w:afterAutospacing="0" w:line="276" w:lineRule="auto"/>
            </w:pPr>
            <w:r w:rsidRPr="00BC3F16">
              <w:t>Peningkatan Keterampilan Mengajar</w:t>
            </w:r>
          </w:p>
        </w:tc>
        <w:tc>
          <w:tcPr>
            <w:tcW w:w="1183" w:type="dxa"/>
            <w:tcBorders>
              <w:top w:val="single" w:sz="4" w:space="0" w:color="auto"/>
              <w:bottom w:val="nil"/>
            </w:tcBorders>
            <w:shd w:val="clear" w:color="auto" w:fill="auto"/>
          </w:tcPr>
          <w:p w14:paraId="148E4F33" w14:textId="3F38615D" w:rsidR="00F828BC" w:rsidRPr="00BC3F16" w:rsidRDefault="00F828BC" w:rsidP="00F828BC">
            <w:pPr>
              <w:pStyle w:val="NormalWeb"/>
              <w:spacing w:before="0" w:beforeAutospacing="0" w:after="0" w:afterAutospacing="0" w:line="276" w:lineRule="auto"/>
              <w:jc w:val="center"/>
            </w:pPr>
            <w:r w:rsidRPr="00BC3F16">
              <w:t>5</w:t>
            </w:r>
          </w:p>
        </w:tc>
        <w:tc>
          <w:tcPr>
            <w:tcW w:w="2394" w:type="dxa"/>
            <w:tcBorders>
              <w:top w:val="single" w:sz="4" w:space="0" w:color="auto"/>
              <w:bottom w:val="nil"/>
            </w:tcBorders>
            <w:shd w:val="clear" w:color="auto" w:fill="auto"/>
          </w:tcPr>
          <w:p w14:paraId="3281247B" w14:textId="70FBFE74" w:rsidR="00F828BC" w:rsidRPr="00BC3F16" w:rsidRDefault="00F828BC" w:rsidP="00F828BC">
            <w:pPr>
              <w:pStyle w:val="NormalWeb"/>
              <w:spacing w:before="0" w:beforeAutospacing="0" w:after="0" w:afterAutospacing="0" w:line="276" w:lineRule="auto"/>
            </w:pPr>
            <w:r w:rsidRPr="00BC3F16">
              <w:t>Signifikan</w:t>
            </w:r>
          </w:p>
        </w:tc>
      </w:tr>
      <w:tr w:rsidR="00F828BC" w:rsidRPr="00BC3F16" w14:paraId="6E721FDB" w14:textId="77777777" w:rsidTr="00F828BC">
        <w:tc>
          <w:tcPr>
            <w:tcW w:w="576" w:type="dxa"/>
            <w:tcBorders>
              <w:top w:val="nil"/>
              <w:bottom w:val="nil"/>
            </w:tcBorders>
            <w:shd w:val="clear" w:color="auto" w:fill="auto"/>
          </w:tcPr>
          <w:p w14:paraId="7289907B" w14:textId="77777777" w:rsidR="00F828BC" w:rsidRPr="00BC3F16" w:rsidRDefault="00F828BC" w:rsidP="00F828BC">
            <w:pPr>
              <w:pStyle w:val="NormalWeb"/>
              <w:spacing w:before="0" w:beforeAutospacing="0" w:after="0" w:afterAutospacing="0" w:line="276" w:lineRule="auto"/>
              <w:jc w:val="center"/>
            </w:pPr>
            <w:r w:rsidRPr="00BC3F16">
              <w:t>2.</w:t>
            </w:r>
          </w:p>
        </w:tc>
        <w:tc>
          <w:tcPr>
            <w:tcW w:w="4919" w:type="dxa"/>
            <w:tcBorders>
              <w:top w:val="nil"/>
              <w:bottom w:val="nil"/>
            </w:tcBorders>
            <w:shd w:val="clear" w:color="auto" w:fill="auto"/>
            <w:vAlign w:val="center"/>
          </w:tcPr>
          <w:p w14:paraId="2278BF90" w14:textId="0E5DA7E6" w:rsidR="00F828BC" w:rsidRPr="00BC3F16" w:rsidRDefault="00F828BC" w:rsidP="00F828BC">
            <w:pPr>
              <w:pStyle w:val="NormalWeb"/>
              <w:spacing w:before="0" w:beforeAutospacing="0" w:after="0" w:afterAutospacing="0" w:line="276" w:lineRule="auto"/>
            </w:pPr>
            <w:r w:rsidRPr="00BC3F16">
              <w:t>Pengaruh terhadap Hasil Belajar Siswa</w:t>
            </w:r>
          </w:p>
        </w:tc>
        <w:tc>
          <w:tcPr>
            <w:tcW w:w="1183" w:type="dxa"/>
            <w:tcBorders>
              <w:top w:val="nil"/>
              <w:bottom w:val="nil"/>
            </w:tcBorders>
            <w:shd w:val="clear" w:color="auto" w:fill="auto"/>
          </w:tcPr>
          <w:p w14:paraId="0D59BAFA" w14:textId="39FECA7E" w:rsidR="00F828BC" w:rsidRPr="00BC3F16" w:rsidRDefault="00F828BC" w:rsidP="00F828BC">
            <w:pPr>
              <w:pStyle w:val="NormalWeb"/>
              <w:spacing w:before="0" w:beforeAutospacing="0" w:after="0" w:afterAutospacing="0" w:line="276" w:lineRule="auto"/>
              <w:jc w:val="center"/>
            </w:pPr>
            <w:r w:rsidRPr="00BC3F16">
              <w:t>4</w:t>
            </w:r>
          </w:p>
        </w:tc>
        <w:tc>
          <w:tcPr>
            <w:tcW w:w="2394" w:type="dxa"/>
            <w:tcBorders>
              <w:top w:val="nil"/>
              <w:bottom w:val="nil"/>
            </w:tcBorders>
            <w:shd w:val="clear" w:color="auto" w:fill="auto"/>
          </w:tcPr>
          <w:p w14:paraId="4666BD1F" w14:textId="7EAB167E" w:rsidR="00F828BC" w:rsidRPr="00BC3F16" w:rsidRDefault="00F828BC" w:rsidP="00F828BC">
            <w:pPr>
              <w:pStyle w:val="NormalWeb"/>
              <w:spacing w:before="0" w:beforeAutospacing="0" w:after="0" w:afterAutospacing="0" w:line="276" w:lineRule="auto"/>
            </w:pPr>
            <w:r w:rsidRPr="00BC3F16">
              <w:t>Berdampak</w:t>
            </w:r>
          </w:p>
        </w:tc>
      </w:tr>
      <w:tr w:rsidR="00F828BC" w:rsidRPr="00BC3F16" w14:paraId="32396D5E" w14:textId="77777777" w:rsidTr="00F828BC">
        <w:tc>
          <w:tcPr>
            <w:tcW w:w="576" w:type="dxa"/>
            <w:tcBorders>
              <w:top w:val="nil"/>
              <w:bottom w:val="nil"/>
            </w:tcBorders>
            <w:shd w:val="clear" w:color="auto" w:fill="auto"/>
          </w:tcPr>
          <w:p w14:paraId="2B3D0D58" w14:textId="77777777" w:rsidR="00F828BC" w:rsidRPr="00BC3F16" w:rsidRDefault="00F828BC" w:rsidP="00F828BC">
            <w:pPr>
              <w:pStyle w:val="NormalWeb"/>
              <w:spacing w:before="0" w:beforeAutospacing="0" w:after="0" w:afterAutospacing="0" w:line="276" w:lineRule="auto"/>
              <w:jc w:val="center"/>
            </w:pPr>
            <w:r w:rsidRPr="00BC3F16">
              <w:t>3.</w:t>
            </w:r>
          </w:p>
        </w:tc>
        <w:tc>
          <w:tcPr>
            <w:tcW w:w="4919" w:type="dxa"/>
            <w:tcBorders>
              <w:top w:val="nil"/>
              <w:bottom w:val="nil"/>
            </w:tcBorders>
            <w:shd w:val="clear" w:color="auto" w:fill="auto"/>
            <w:vAlign w:val="center"/>
          </w:tcPr>
          <w:p w14:paraId="6035BB50" w14:textId="048ACDFF" w:rsidR="00F828BC" w:rsidRPr="00BC3F16" w:rsidRDefault="00F828BC" w:rsidP="00F828BC">
            <w:pPr>
              <w:pStyle w:val="NormalWeb"/>
              <w:spacing w:before="0" w:beforeAutospacing="0" w:after="0" w:afterAutospacing="0" w:line="276" w:lineRule="auto"/>
            </w:pPr>
            <w:r w:rsidRPr="00BC3F16">
              <w:t>Efektivitas dalam Meningkatkan Refleksi</w:t>
            </w:r>
          </w:p>
        </w:tc>
        <w:tc>
          <w:tcPr>
            <w:tcW w:w="1183" w:type="dxa"/>
            <w:tcBorders>
              <w:top w:val="nil"/>
              <w:bottom w:val="nil"/>
            </w:tcBorders>
            <w:shd w:val="clear" w:color="auto" w:fill="auto"/>
          </w:tcPr>
          <w:p w14:paraId="085FDDCF" w14:textId="5C0D6A9B" w:rsidR="00F828BC" w:rsidRPr="00BC3F16" w:rsidRDefault="00F828BC" w:rsidP="00F828BC">
            <w:pPr>
              <w:pStyle w:val="NormalWeb"/>
              <w:spacing w:before="0" w:beforeAutospacing="0" w:after="0" w:afterAutospacing="0" w:line="276" w:lineRule="auto"/>
              <w:jc w:val="center"/>
            </w:pPr>
            <w:r w:rsidRPr="00BC3F16">
              <w:t>5</w:t>
            </w:r>
          </w:p>
        </w:tc>
        <w:tc>
          <w:tcPr>
            <w:tcW w:w="2394" w:type="dxa"/>
            <w:tcBorders>
              <w:top w:val="nil"/>
              <w:bottom w:val="nil"/>
            </w:tcBorders>
            <w:shd w:val="clear" w:color="auto" w:fill="auto"/>
          </w:tcPr>
          <w:p w14:paraId="60CCF755" w14:textId="09BF9447" w:rsidR="00F828BC" w:rsidRPr="00BC3F16" w:rsidRDefault="00F828BC" w:rsidP="00F828BC">
            <w:pPr>
              <w:pStyle w:val="NormalWeb"/>
              <w:spacing w:before="0" w:beforeAutospacing="0" w:after="0" w:afterAutospacing="0" w:line="276" w:lineRule="auto"/>
            </w:pPr>
            <w:r w:rsidRPr="00BC3F16">
              <w:t>Sangat Efektif</w:t>
            </w:r>
          </w:p>
        </w:tc>
      </w:tr>
      <w:tr w:rsidR="00F828BC" w:rsidRPr="00BC3F16" w14:paraId="12E62CD4" w14:textId="77777777" w:rsidTr="00F828BC">
        <w:tc>
          <w:tcPr>
            <w:tcW w:w="576" w:type="dxa"/>
            <w:tcBorders>
              <w:top w:val="nil"/>
              <w:bottom w:val="nil"/>
            </w:tcBorders>
            <w:shd w:val="clear" w:color="auto" w:fill="auto"/>
          </w:tcPr>
          <w:p w14:paraId="602581CB" w14:textId="77777777" w:rsidR="00F828BC" w:rsidRPr="00BC3F16" w:rsidRDefault="00F828BC" w:rsidP="00F828BC">
            <w:pPr>
              <w:pStyle w:val="NormalWeb"/>
              <w:spacing w:before="0" w:beforeAutospacing="0" w:after="0" w:afterAutospacing="0" w:line="276" w:lineRule="auto"/>
              <w:jc w:val="center"/>
            </w:pPr>
            <w:r w:rsidRPr="00BC3F16">
              <w:t>4.</w:t>
            </w:r>
          </w:p>
        </w:tc>
        <w:tc>
          <w:tcPr>
            <w:tcW w:w="4919" w:type="dxa"/>
            <w:tcBorders>
              <w:top w:val="nil"/>
              <w:bottom w:val="nil"/>
            </w:tcBorders>
            <w:shd w:val="clear" w:color="auto" w:fill="auto"/>
            <w:vAlign w:val="center"/>
          </w:tcPr>
          <w:p w14:paraId="19F13000" w14:textId="15A824B6" w:rsidR="00F828BC" w:rsidRPr="00BC3F16" w:rsidRDefault="00F828BC" w:rsidP="00F828BC">
            <w:pPr>
              <w:pStyle w:val="NormalWeb"/>
              <w:spacing w:before="0" w:beforeAutospacing="0" w:after="0" w:afterAutospacing="0" w:line="276" w:lineRule="auto"/>
            </w:pPr>
            <w:r w:rsidRPr="00BC3F16">
              <w:t>Keterlibatan Siswa</w:t>
            </w:r>
          </w:p>
        </w:tc>
        <w:tc>
          <w:tcPr>
            <w:tcW w:w="1183" w:type="dxa"/>
            <w:tcBorders>
              <w:top w:val="nil"/>
              <w:bottom w:val="nil"/>
            </w:tcBorders>
            <w:shd w:val="clear" w:color="auto" w:fill="auto"/>
          </w:tcPr>
          <w:p w14:paraId="54CB2F04" w14:textId="6E952771" w:rsidR="00F828BC" w:rsidRPr="00BC3F16" w:rsidRDefault="00F828BC" w:rsidP="00F828BC">
            <w:pPr>
              <w:pStyle w:val="NormalWeb"/>
              <w:spacing w:before="0" w:beforeAutospacing="0" w:after="0" w:afterAutospacing="0" w:line="276" w:lineRule="auto"/>
              <w:jc w:val="center"/>
            </w:pPr>
            <w:r w:rsidRPr="00BC3F16">
              <w:t>5</w:t>
            </w:r>
          </w:p>
        </w:tc>
        <w:tc>
          <w:tcPr>
            <w:tcW w:w="2394" w:type="dxa"/>
            <w:tcBorders>
              <w:top w:val="nil"/>
              <w:bottom w:val="nil"/>
            </w:tcBorders>
            <w:shd w:val="clear" w:color="auto" w:fill="auto"/>
          </w:tcPr>
          <w:p w14:paraId="11D77D14" w14:textId="6B170545" w:rsidR="00F828BC" w:rsidRPr="00BC3F16" w:rsidRDefault="00F828BC" w:rsidP="00F828BC">
            <w:pPr>
              <w:pStyle w:val="NormalWeb"/>
              <w:spacing w:before="0" w:beforeAutospacing="0" w:after="0" w:afterAutospacing="0" w:line="276" w:lineRule="auto"/>
            </w:pPr>
            <w:r w:rsidRPr="00BC3F16">
              <w:t>Sangat Meningkat</w:t>
            </w:r>
          </w:p>
        </w:tc>
      </w:tr>
      <w:tr w:rsidR="00F828BC" w:rsidRPr="00BC3F16" w14:paraId="1C1A0E7D" w14:textId="77777777" w:rsidTr="00F828BC">
        <w:tc>
          <w:tcPr>
            <w:tcW w:w="576" w:type="dxa"/>
            <w:tcBorders>
              <w:top w:val="nil"/>
              <w:bottom w:val="nil"/>
            </w:tcBorders>
            <w:shd w:val="clear" w:color="auto" w:fill="auto"/>
          </w:tcPr>
          <w:p w14:paraId="4A48BDCF" w14:textId="61BB277A" w:rsidR="00F828BC" w:rsidRPr="00BC3F16" w:rsidRDefault="00F828BC" w:rsidP="00F828BC">
            <w:pPr>
              <w:pStyle w:val="NormalWeb"/>
              <w:spacing w:before="0" w:beforeAutospacing="0" w:after="0" w:afterAutospacing="0" w:line="276" w:lineRule="auto"/>
              <w:jc w:val="center"/>
            </w:pPr>
            <w:r w:rsidRPr="00BC3F16">
              <w:t>5.</w:t>
            </w:r>
          </w:p>
        </w:tc>
        <w:tc>
          <w:tcPr>
            <w:tcW w:w="4919" w:type="dxa"/>
            <w:tcBorders>
              <w:top w:val="nil"/>
              <w:bottom w:val="nil"/>
            </w:tcBorders>
            <w:shd w:val="clear" w:color="auto" w:fill="auto"/>
            <w:vAlign w:val="center"/>
          </w:tcPr>
          <w:p w14:paraId="63A67A40" w14:textId="6D322592" w:rsidR="00F828BC" w:rsidRPr="00BC3F16" w:rsidRDefault="00F828BC" w:rsidP="00F828BC">
            <w:pPr>
              <w:pStyle w:val="NormalWeb"/>
              <w:spacing w:before="0" w:beforeAutospacing="0" w:after="0" w:afterAutospacing="0" w:line="276" w:lineRule="auto"/>
            </w:pPr>
            <w:r w:rsidRPr="00BC3F16">
              <w:t>Kesesuaian dengan Tujuan Pembelajaran</w:t>
            </w:r>
          </w:p>
        </w:tc>
        <w:tc>
          <w:tcPr>
            <w:tcW w:w="1183" w:type="dxa"/>
            <w:tcBorders>
              <w:top w:val="nil"/>
              <w:bottom w:val="nil"/>
            </w:tcBorders>
            <w:shd w:val="clear" w:color="auto" w:fill="auto"/>
          </w:tcPr>
          <w:p w14:paraId="04ACD11B" w14:textId="37D83578" w:rsidR="00F828BC" w:rsidRPr="00BC3F16" w:rsidRDefault="00F828BC" w:rsidP="00F828BC">
            <w:pPr>
              <w:pStyle w:val="NormalWeb"/>
              <w:spacing w:before="0" w:beforeAutospacing="0" w:after="0" w:afterAutospacing="0" w:line="276" w:lineRule="auto"/>
              <w:jc w:val="center"/>
            </w:pPr>
            <w:r w:rsidRPr="00BC3F16">
              <w:t>4</w:t>
            </w:r>
          </w:p>
        </w:tc>
        <w:tc>
          <w:tcPr>
            <w:tcW w:w="2394" w:type="dxa"/>
            <w:tcBorders>
              <w:top w:val="nil"/>
              <w:bottom w:val="nil"/>
            </w:tcBorders>
            <w:shd w:val="clear" w:color="auto" w:fill="auto"/>
          </w:tcPr>
          <w:p w14:paraId="74DEA2D7" w14:textId="7C8817EE" w:rsidR="00F828BC" w:rsidRPr="00BC3F16" w:rsidRDefault="00F828BC" w:rsidP="00F828BC">
            <w:pPr>
              <w:pStyle w:val="NormalWeb"/>
              <w:spacing w:before="0" w:beforeAutospacing="0" w:after="0" w:afterAutospacing="0" w:line="276" w:lineRule="auto"/>
            </w:pPr>
            <w:r w:rsidRPr="00BC3F16">
              <w:t>Sesuai</w:t>
            </w:r>
          </w:p>
        </w:tc>
      </w:tr>
      <w:tr w:rsidR="00F828BC" w:rsidRPr="00BC3F16" w14:paraId="6CFAC292" w14:textId="77777777" w:rsidTr="00F828BC">
        <w:tc>
          <w:tcPr>
            <w:tcW w:w="576" w:type="dxa"/>
            <w:tcBorders>
              <w:top w:val="nil"/>
              <w:bottom w:val="nil"/>
            </w:tcBorders>
            <w:shd w:val="clear" w:color="auto" w:fill="auto"/>
          </w:tcPr>
          <w:p w14:paraId="23527C36" w14:textId="16502261" w:rsidR="00F828BC" w:rsidRPr="00BC3F16" w:rsidRDefault="00F828BC" w:rsidP="00F828BC">
            <w:pPr>
              <w:pStyle w:val="NormalWeb"/>
              <w:spacing w:before="0" w:beforeAutospacing="0" w:after="0" w:afterAutospacing="0" w:line="276" w:lineRule="auto"/>
              <w:jc w:val="center"/>
            </w:pPr>
            <w:r w:rsidRPr="00BC3F16">
              <w:t>6.</w:t>
            </w:r>
          </w:p>
        </w:tc>
        <w:tc>
          <w:tcPr>
            <w:tcW w:w="4919" w:type="dxa"/>
            <w:tcBorders>
              <w:top w:val="nil"/>
              <w:bottom w:val="nil"/>
            </w:tcBorders>
            <w:shd w:val="clear" w:color="auto" w:fill="auto"/>
            <w:vAlign w:val="center"/>
          </w:tcPr>
          <w:p w14:paraId="2E73EA20" w14:textId="0C0AEF6A" w:rsidR="00F828BC" w:rsidRPr="00BC3F16" w:rsidRDefault="00F828BC" w:rsidP="00F828BC">
            <w:pPr>
              <w:pStyle w:val="NormalWeb"/>
              <w:spacing w:before="0" w:beforeAutospacing="0" w:after="0" w:afterAutospacing="0" w:line="276" w:lineRule="auto"/>
            </w:pPr>
            <w:r w:rsidRPr="00BC3F16">
              <w:t>Keberhasilan Implementasi</w:t>
            </w:r>
          </w:p>
        </w:tc>
        <w:tc>
          <w:tcPr>
            <w:tcW w:w="1183" w:type="dxa"/>
            <w:tcBorders>
              <w:top w:val="nil"/>
              <w:bottom w:val="nil"/>
            </w:tcBorders>
            <w:shd w:val="clear" w:color="auto" w:fill="auto"/>
          </w:tcPr>
          <w:p w14:paraId="2FE9A48B" w14:textId="1A8F62FE" w:rsidR="00F828BC" w:rsidRPr="00BC3F16" w:rsidRDefault="00F828BC" w:rsidP="00F828BC">
            <w:pPr>
              <w:pStyle w:val="NormalWeb"/>
              <w:spacing w:before="0" w:beforeAutospacing="0" w:after="0" w:afterAutospacing="0" w:line="276" w:lineRule="auto"/>
              <w:jc w:val="center"/>
            </w:pPr>
            <w:r w:rsidRPr="00BC3F16">
              <w:t>5</w:t>
            </w:r>
          </w:p>
        </w:tc>
        <w:tc>
          <w:tcPr>
            <w:tcW w:w="2394" w:type="dxa"/>
            <w:tcBorders>
              <w:top w:val="nil"/>
              <w:bottom w:val="nil"/>
            </w:tcBorders>
            <w:shd w:val="clear" w:color="auto" w:fill="auto"/>
          </w:tcPr>
          <w:p w14:paraId="315A36F2" w14:textId="09D56792" w:rsidR="00F828BC" w:rsidRPr="00BC3F16" w:rsidRDefault="00F828BC" w:rsidP="00F828BC">
            <w:pPr>
              <w:pStyle w:val="NormalWeb"/>
              <w:spacing w:before="0" w:beforeAutospacing="0" w:after="0" w:afterAutospacing="0" w:line="276" w:lineRule="auto"/>
            </w:pPr>
            <w:r w:rsidRPr="00BC3F16">
              <w:t>Sangat Berhasil</w:t>
            </w:r>
          </w:p>
        </w:tc>
      </w:tr>
      <w:tr w:rsidR="00F828BC" w:rsidRPr="00BC3F16" w14:paraId="6B0187DA" w14:textId="77777777" w:rsidTr="00F828BC">
        <w:tc>
          <w:tcPr>
            <w:tcW w:w="576" w:type="dxa"/>
            <w:tcBorders>
              <w:top w:val="nil"/>
              <w:bottom w:val="nil"/>
            </w:tcBorders>
            <w:shd w:val="clear" w:color="auto" w:fill="auto"/>
          </w:tcPr>
          <w:p w14:paraId="218906B4" w14:textId="0B27BA16" w:rsidR="00F828BC" w:rsidRPr="00BC3F16" w:rsidRDefault="00F828BC" w:rsidP="00F828BC">
            <w:pPr>
              <w:pStyle w:val="NormalWeb"/>
              <w:spacing w:before="0" w:beforeAutospacing="0" w:after="0" w:afterAutospacing="0" w:line="276" w:lineRule="auto"/>
              <w:jc w:val="center"/>
            </w:pPr>
            <w:r w:rsidRPr="00BC3F16">
              <w:t>7.</w:t>
            </w:r>
          </w:p>
        </w:tc>
        <w:tc>
          <w:tcPr>
            <w:tcW w:w="4919" w:type="dxa"/>
            <w:tcBorders>
              <w:top w:val="nil"/>
              <w:bottom w:val="nil"/>
            </w:tcBorders>
            <w:shd w:val="clear" w:color="auto" w:fill="auto"/>
            <w:vAlign w:val="center"/>
          </w:tcPr>
          <w:p w14:paraId="20D2E8E1" w14:textId="5AF2EF7B" w:rsidR="00F828BC" w:rsidRPr="00BC3F16" w:rsidRDefault="00F828BC" w:rsidP="00F828BC">
            <w:pPr>
              <w:pStyle w:val="NormalWeb"/>
              <w:spacing w:before="0" w:beforeAutospacing="0" w:after="0" w:afterAutospacing="0" w:line="276" w:lineRule="auto"/>
            </w:pPr>
            <w:r w:rsidRPr="00BC3F16">
              <w:t>Kesesuaian dengan Kurikulum</w:t>
            </w:r>
          </w:p>
        </w:tc>
        <w:tc>
          <w:tcPr>
            <w:tcW w:w="1183" w:type="dxa"/>
            <w:tcBorders>
              <w:top w:val="nil"/>
              <w:bottom w:val="nil"/>
            </w:tcBorders>
            <w:shd w:val="clear" w:color="auto" w:fill="auto"/>
          </w:tcPr>
          <w:p w14:paraId="563CD023" w14:textId="34DA184D" w:rsidR="00F828BC" w:rsidRPr="00BC3F16" w:rsidRDefault="00F828BC" w:rsidP="00F828BC">
            <w:pPr>
              <w:pStyle w:val="NormalWeb"/>
              <w:spacing w:before="0" w:beforeAutospacing="0" w:after="0" w:afterAutospacing="0" w:line="276" w:lineRule="auto"/>
              <w:jc w:val="center"/>
            </w:pPr>
            <w:r w:rsidRPr="00BC3F16">
              <w:t>4</w:t>
            </w:r>
          </w:p>
        </w:tc>
        <w:tc>
          <w:tcPr>
            <w:tcW w:w="2394" w:type="dxa"/>
            <w:tcBorders>
              <w:top w:val="nil"/>
              <w:bottom w:val="nil"/>
            </w:tcBorders>
            <w:shd w:val="clear" w:color="auto" w:fill="auto"/>
          </w:tcPr>
          <w:p w14:paraId="7609A4BB" w14:textId="2DE31AEA" w:rsidR="00F828BC" w:rsidRPr="00BC3F16" w:rsidRDefault="00F828BC" w:rsidP="00F828BC">
            <w:pPr>
              <w:pStyle w:val="NormalWeb"/>
              <w:spacing w:before="0" w:beforeAutospacing="0" w:after="0" w:afterAutospacing="0" w:line="276" w:lineRule="auto"/>
            </w:pPr>
            <w:r w:rsidRPr="00BC3F16">
              <w:t>Sesuai</w:t>
            </w:r>
          </w:p>
        </w:tc>
      </w:tr>
      <w:tr w:rsidR="00F828BC" w:rsidRPr="00BC3F16" w14:paraId="421BC33B" w14:textId="77777777" w:rsidTr="00F828BC">
        <w:tc>
          <w:tcPr>
            <w:tcW w:w="576" w:type="dxa"/>
            <w:tcBorders>
              <w:top w:val="nil"/>
              <w:bottom w:val="single" w:sz="4" w:space="0" w:color="auto"/>
            </w:tcBorders>
            <w:shd w:val="clear" w:color="auto" w:fill="auto"/>
          </w:tcPr>
          <w:p w14:paraId="2ECAD415" w14:textId="2DD8286C" w:rsidR="00F828BC" w:rsidRPr="00BC3F16" w:rsidRDefault="00F828BC" w:rsidP="00F828BC">
            <w:pPr>
              <w:pStyle w:val="NormalWeb"/>
              <w:spacing w:before="0" w:beforeAutospacing="0" w:after="0" w:afterAutospacing="0" w:line="276" w:lineRule="auto"/>
              <w:jc w:val="center"/>
            </w:pPr>
            <w:r w:rsidRPr="00BC3F16">
              <w:t>8.</w:t>
            </w:r>
          </w:p>
        </w:tc>
        <w:tc>
          <w:tcPr>
            <w:tcW w:w="4919" w:type="dxa"/>
            <w:tcBorders>
              <w:top w:val="nil"/>
              <w:bottom w:val="single" w:sz="4" w:space="0" w:color="auto"/>
            </w:tcBorders>
            <w:shd w:val="clear" w:color="auto" w:fill="auto"/>
            <w:vAlign w:val="center"/>
          </w:tcPr>
          <w:p w14:paraId="363705CB" w14:textId="7C8C4DC8" w:rsidR="00F828BC" w:rsidRPr="00BC3F16" w:rsidRDefault="00F828BC" w:rsidP="00F828BC">
            <w:pPr>
              <w:pStyle w:val="NormalWeb"/>
              <w:spacing w:before="0" w:beforeAutospacing="0" w:after="0" w:afterAutospacing="0" w:line="276" w:lineRule="auto"/>
            </w:pPr>
            <w:r w:rsidRPr="00BC3F16">
              <w:t>Inovasi dan Kreativitas dalam Pembelajaran</w:t>
            </w:r>
          </w:p>
        </w:tc>
        <w:tc>
          <w:tcPr>
            <w:tcW w:w="1183" w:type="dxa"/>
            <w:tcBorders>
              <w:top w:val="nil"/>
              <w:bottom w:val="single" w:sz="4" w:space="0" w:color="auto"/>
            </w:tcBorders>
            <w:shd w:val="clear" w:color="auto" w:fill="auto"/>
          </w:tcPr>
          <w:p w14:paraId="77E60041" w14:textId="2D90FC80" w:rsidR="00F828BC" w:rsidRPr="00BC3F16" w:rsidRDefault="00F828BC" w:rsidP="00F828BC">
            <w:pPr>
              <w:pStyle w:val="NormalWeb"/>
              <w:spacing w:before="0" w:beforeAutospacing="0" w:after="0" w:afterAutospacing="0" w:line="276" w:lineRule="auto"/>
              <w:jc w:val="center"/>
            </w:pPr>
            <w:r w:rsidRPr="00BC3F16">
              <w:t>5</w:t>
            </w:r>
          </w:p>
        </w:tc>
        <w:tc>
          <w:tcPr>
            <w:tcW w:w="2394" w:type="dxa"/>
            <w:tcBorders>
              <w:top w:val="nil"/>
              <w:bottom w:val="single" w:sz="4" w:space="0" w:color="auto"/>
            </w:tcBorders>
            <w:shd w:val="clear" w:color="auto" w:fill="auto"/>
          </w:tcPr>
          <w:p w14:paraId="4DA4B0B4" w14:textId="2E33844E" w:rsidR="00F828BC" w:rsidRPr="00BC3F16" w:rsidRDefault="00F828BC" w:rsidP="00F828BC">
            <w:pPr>
              <w:pStyle w:val="NormalWeb"/>
              <w:spacing w:before="0" w:beforeAutospacing="0" w:after="0" w:afterAutospacing="0" w:line="276" w:lineRule="auto"/>
            </w:pPr>
            <w:r w:rsidRPr="00BC3F16">
              <w:t>Sangat Inovatif</w:t>
            </w:r>
          </w:p>
        </w:tc>
      </w:tr>
      <w:tr w:rsidR="00F828BC" w:rsidRPr="00BC3F16" w14:paraId="268BD7E8" w14:textId="77777777" w:rsidTr="00F828BC">
        <w:tc>
          <w:tcPr>
            <w:tcW w:w="576" w:type="dxa"/>
            <w:tcBorders>
              <w:top w:val="single" w:sz="4" w:space="0" w:color="auto"/>
              <w:bottom w:val="single" w:sz="4" w:space="0" w:color="auto"/>
            </w:tcBorders>
            <w:shd w:val="clear" w:color="auto" w:fill="auto"/>
          </w:tcPr>
          <w:p w14:paraId="2F245248" w14:textId="77777777" w:rsidR="00F828BC" w:rsidRPr="00BC3F16" w:rsidRDefault="00F828BC" w:rsidP="00F828BC">
            <w:pPr>
              <w:pStyle w:val="NormalWeb"/>
              <w:spacing w:before="0" w:beforeAutospacing="0" w:after="0" w:afterAutospacing="0" w:line="276" w:lineRule="auto"/>
              <w:jc w:val="center"/>
            </w:pPr>
          </w:p>
        </w:tc>
        <w:tc>
          <w:tcPr>
            <w:tcW w:w="4919" w:type="dxa"/>
            <w:tcBorders>
              <w:top w:val="single" w:sz="4" w:space="0" w:color="auto"/>
              <w:bottom w:val="single" w:sz="4" w:space="0" w:color="auto"/>
            </w:tcBorders>
            <w:shd w:val="clear" w:color="auto" w:fill="auto"/>
          </w:tcPr>
          <w:p w14:paraId="1F755BA4" w14:textId="280E75C7" w:rsidR="00F828BC" w:rsidRPr="00BC3F16" w:rsidRDefault="00F828BC" w:rsidP="00F828BC">
            <w:pPr>
              <w:pStyle w:val="NormalWeb"/>
              <w:spacing w:before="0" w:beforeAutospacing="0" w:after="0" w:afterAutospacing="0" w:line="276" w:lineRule="auto"/>
            </w:pPr>
            <w:r w:rsidRPr="00BC3F16">
              <w:rPr>
                <w:b/>
                <w:bCs/>
              </w:rPr>
              <w:t>Jumlah Skor</w:t>
            </w:r>
          </w:p>
        </w:tc>
        <w:tc>
          <w:tcPr>
            <w:tcW w:w="1183" w:type="dxa"/>
            <w:tcBorders>
              <w:top w:val="single" w:sz="4" w:space="0" w:color="auto"/>
              <w:bottom w:val="single" w:sz="4" w:space="0" w:color="auto"/>
            </w:tcBorders>
            <w:shd w:val="clear" w:color="auto" w:fill="auto"/>
          </w:tcPr>
          <w:p w14:paraId="744960FE" w14:textId="55519D42" w:rsidR="00F828BC" w:rsidRPr="00BC3F16" w:rsidRDefault="00F828BC" w:rsidP="00F828BC">
            <w:pPr>
              <w:pStyle w:val="NormalWeb"/>
              <w:spacing w:before="0" w:beforeAutospacing="0" w:after="0" w:afterAutospacing="0" w:line="276" w:lineRule="auto"/>
              <w:jc w:val="center"/>
            </w:pPr>
            <w:r w:rsidRPr="00BC3F16">
              <w:rPr>
                <w:b/>
                <w:bCs/>
              </w:rPr>
              <w:t>37</w:t>
            </w:r>
          </w:p>
        </w:tc>
        <w:tc>
          <w:tcPr>
            <w:tcW w:w="2394" w:type="dxa"/>
            <w:vMerge w:val="restart"/>
            <w:tcBorders>
              <w:top w:val="single" w:sz="4" w:space="0" w:color="auto"/>
            </w:tcBorders>
            <w:shd w:val="clear" w:color="auto" w:fill="auto"/>
            <w:vAlign w:val="center"/>
          </w:tcPr>
          <w:p w14:paraId="3E1AD5E0" w14:textId="7353565E" w:rsidR="00F828BC" w:rsidRPr="00BC3F16" w:rsidRDefault="00F828BC" w:rsidP="00F828BC">
            <w:pPr>
              <w:pStyle w:val="NormalWeb"/>
              <w:spacing w:before="0" w:beforeAutospacing="0" w:after="0" w:afterAutospacing="0" w:line="276" w:lineRule="auto"/>
            </w:pPr>
            <w:r w:rsidRPr="00BC3F16">
              <w:t>Sangat Efektif</w:t>
            </w:r>
          </w:p>
        </w:tc>
      </w:tr>
      <w:tr w:rsidR="00F828BC" w:rsidRPr="00BC3F16" w14:paraId="0A2F4DB3" w14:textId="77777777" w:rsidTr="00401DD8">
        <w:tc>
          <w:tcPr>
            <w:tcW w:w="576" w:type="dxa"/>
            <w:tcBorders>
              <w:bottom w:val="single" w:sz="4" w:space="0" w:color="auto"/>
            </w:tcBorders>
            <w:shd w:val="clear" w:color="auto" w:fill="auto"/>
          </w:tcPr>
          <w:p w14:paraId="19732D54" w14:textId="77777777" w:rsidR="00F828BC" w:rsidRPr="00BC3F16" w:rsidRDefault="00F828BC" w:rsidP="00F828BC">
            <w:pPr>
              <w:pStyle w:val="NormalWeb"/>
              <w:spacing w:before="0" w:beforeAutospacing="0" w:after="0" w:afterAutospacing="0" w:line="276" w:lineRule="auto"/>
              <w:jc w:val="center"/>
            </w:pPr>
          </w:p>
        </w:tc>
        <w:tc>
          <w:tcPr>
            <w:tcW w:w="4919" w:type="dxa"/>
            <w:tcBorders>
              <w:bottom w:val="single" w:sz="4" w:space="0" w:color="auto"/>
            </w:tcBorders>
            <w:shd w:val="clear" w:color="auto" w:fill="auto"/>
          </w:tcPr>
          <w:p w14:paraId="729EC1B6" w14:textId="4DC92C02" w:rsidR="00F828BC" w:rsidRPr="00BC3F16" w:rsidRDefault="00F828BC" w:rsidP="00F828BC">
            <w:pPr>
              <w:pStyle w:val="NormalWeb"/>
              <w:spacing w:before="0" w:beforeAutospacing="0" w:after="0" w:afterAutospacing="0" w:line="276" w:lineRule="auto"/>
            </w:pPr>
            <w:r w:rsidRPr="00BC3F16">
              <w:rPr>
                <w:b/>
                <w:bCs/>
              </w:rPr>
              <w:t>Rata-rata</w:t>
            </w:r>
          </w:p>
        </w:tc>
        <w:tc>
          <w:tcPr>
            <w:tcW w:w="1183" w:type="dxa"/>
            <w:tcBorders>
              <w:bottom w:val="single" w:sz="4" w:space="0" w:color="auto"/>
            </w:tcBorders>
            <w:shd w:val="clear" w:color="auto" w:fill="auto"/>
          </w:tcPr>
          <w:p w14:paraId="4F7A46EC" w14:textId="370AC278" w:rsidR="00F828BC" w:rsidRPr="00BC3F16" w:rsidRDefault="00F828BC" w:rsidP="00F828BC">
            <w:pPr>
              <w:pStyle w:val="NormalWeb"/>
              <w:spacing w:before="0" w:beforeAutospacing="0" w:after="0" w:afterAutospacing="0" w:line="276" w:lineRule="auto"/>
              <w:jc w:val="center"/>
            </w:pPr>
            <w:r w:rsidRPr="00BC3F16">
              <w:rPr>
                <w:b/>
                <w:bCs/>
              </w:rPr>
              <w:t>4.63</w:t>
            </w:r>
          </w:p>
        </w:tc>
        <w:tc>
          <w:tcPr>
            <w:tcW w:w="2394" w:type="dxa"/>
            <w:vMerge/>
            <w:shd w:val="clear" w:color="auto" w:fill="auto"/>
          </w:tcPr>
          <w:p w14:paraId="20FFA37A" w14:textId="77777777" w:rsidR="00F828BC" w:rsidRPr="00BC3F16" w:rsidRDefault="00F828BC" w:rsidP="00F828BC">
            <w:pPr>
              <w:pStyle w:val="NormalWeb"/>
              <w:spacing w:before="0" w:beforeAutospacing="0" w:after="0" w:afterAutospacing="0" w:line="276" w:lineRule="auto"/>
              <w:jc w:val="center"/>
            </w:pPr>
          </w:p>
        </w:tc>
      </w:tr>
      <w:tr w:rsidR="00F828BC" w:rsidRPr="00BC3F16" w14:paraId="12F9EA1D" w14:textId="77777777" w:rsidTr="00F828BC">
        <w:tc>
          <w:tcPr>
            <w:tcW w:w="576" w:type="dxa"/>
            <w:tcBorders>
              <w:bottom w:val="single" w:sz="4" w:space="0" w:color="auto"/>
            </w:tcBorders>
            <w:shd w:val="clear" w:color="auto" w:fill="auto"/>
          </w:tcPr>
          <w:p w14:paraId="65BE1179" w14:textId="77777777" w:rsidR="00F828BC" w:rsidRPr="00BC3F16" w:rsidRDefault="00F828BC" w:rsidP="00F828BC">
            <w:pPr>
              <w:pStyle w:val="NormalWeb"/>
              <w:spacing w:before="0" w:beforeAutospacing="0" w:after="0" w:afterAutospacing="0" w:line="276" w:lineRule="auto"/>
              <w:jc w:val="center"/>
            </w:pPr>
          </w:p>
        </w:tc>
        <w:tc>
          <w:tcPr>
            <w:tcW w:w="4919" w:type="dxa"/>
            <w:tcBorders>
              <w:bottom w:val="single" w:sz="4" w:space="0" w:color="auto"/>
            </w:tcBorders>
            <w:shd w:val="clear" w:color="auto" w:fill="auto"/>
          </w:tcPr>
          <w:p w14:paraId="47B1474B" w14:textId="39AA24F7" w:rsidR="00F828BC" w:rsidRPr="00BC3F16" w:rsidRDefault="00F828BC" w:rsidP="00F828BC">
            <w:pPr>
              <w:pStyle w:val="NormalWeb"/>
              <w:spacing w:before="0" w:beforeAutospacing="0" w:after="0" w:afterAutospacing="0" w:line="276" w:lineRule="auto"/>
            </w:pPr>
            <w:r w:rsidRPr="00BC3F16">
              <w:rPr>
                <w:b/>
                <w:bCs/>
              </w:rPr>
              <w:t>Persentase (%)</w:t>
            </w:r>
          </w:p>
        </w:tc>
        <w:tc>
          <w:tcPr>
            <w:tcW w:w="1183" w:type="dxa"/>
            <w:tcBorders>
              <w:bottom w:val="single" w:sz="4" w:space="0" w:color="auto"/>
            </w:tcBorders>
            <w:shd w:val="clear" w:color="auto" w:fill="auto"/>
          </w:tcPr>
          <w:p w14:paraId="7708D724" w14:textId="32D3591A" w:rsidR="00F828BC" w:rsidRPr="00BC3F16" w:rsidRDefault="00F828BC" w:rsidP="00F828BC">
            <w:pPr>
              <w:pStyle w:val="NormalWeb"/>
              <w:spacing w:before="0" w:beforeAutospacing="0" w:after="0" w:afterAutospacing="0" w:line="276" w:lineRule="auto"/>
              <w:jc w:val="center"/>
            </w:pPr>
            <w:r w:rsidRPr="00BC3F16">
              <w:rPr>
                <w:b/>
                <w:bCs/>
              </w:rPr>
              <w:t>92.50%</w:t>
            </w:r>
          </w:p>
        </w:tc>
        <w:tc>
          <w:tcPr>
            <w:tcW w:w="2394" w:type="dxa"/>
            <w:vMerge/>
            <w:tcBorders>
              <w:bottom w:val="single" w:sz="4" w:space="0" w:color="auto"/>
            </w:tcBorders>
            <w:shd w:val="clear" w:color="auto" w:fill="auto"/>
          </w:tcPr>
          <w:p w14:paraId="29328A8C" w14:textId="77777777" w:rsidR="00F828BC" w:rsidRPr="00BC3F16" w:rsidRDefault="00F828BC" w:rsidP="00F828BC">
            <w:pPr>
              <w:pStyle w:val="NormalWeb"/>
              <w:spacing w:before="0" w:beforeAutospacing="0" w:after="0" w:afterAutospacing="0" w:line="276" w:lineRule="auto"/>
              <w:jc w:val="center"/>
            </w:pPr>
          </w:p>
        </w:tc>
      </w:tr>
    </w:tbl>
    <w:p w14:paraId="2F780543" w14:textId="77777777" w:rsidR="00E33D98" w:rsidRPr="00011957" w:rsidRDefault="00E33D98" w:rsidP="00F828BC">
      <w:pPr>
        <w:pStyle w:val="NormalWeb"/>
        <w:shd w:val="clear" w:color="auto" w:fill="FFFFFF"/>
        <w:spacing w:before="0" w:beforeAutospacing="0" w:after="0" w:afterAutospacing="0" w:line="276" w:lineRule="auto"/>
        <w:jc w:val="both"/>
        <w:sectPr w:rsidR="00E33D98" w:rsidRPr="00011957" w:rsidSect="00E33D98">
          <w:type w:val="continuous"/>
          <w:pgSz w:w="11906" w:h="16838" w:code="9"/>
          <w:pgMar w:top="1440" w:right="1440" w:bottom="1440" w:left="1440" w:header="845" w:footer="709" w:gutter="0"/>
          <w:pgNumType w:start="84"/>
          <w:cols w:space="282"/>
          <w:titlePg/>
          <w:docGrid w:linePitch="299"/>
        </w:sectPr>
      </w:pPr>
    </w:p>
    <w:p w14:paraId="219A4246" w14:textId="6DB0196E" w:rsidR="004A325E" w:rsidRPr="00011957" w:rsidRDefault="00F828BC" w:rsidP="00F828BC">
      <w:pPr>
        <w:pStyle w:val="NormalWeb"/>
        <w:shd w:val="clear" w:color="auto" w:fill="FFFFFF"/>
        <w:spacing w:before="0" w:beforeAutospacing="0" w:after="0" w:afterAutospacing="0" w:line="276" w:lineRule="auto"/>
        <w:jc w:val="both"/>
        <w:rPr>
          <w:bCs/>
          <w:spacing w:val="-5"/>
        </w:rPr>
      </w:pPr>
      <w:r>
        <w:rPr>
          <w:noProof/>
        </w:rPr>
        <w:lastRenderedPageBreak/>
        <w:drawing>
          <wp:inline distT="0" distB="0" distL="0" distR="0" wp14:anchorId="17CC8CD2" wp14:editId="1035A245">
            <wp:extent cx="5715000" cy="2712720"/>
            <wp:effectExtent l="0" t="0" r="0" b="11430"/>
            <wp:docPr id="14941527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3C978D" w14:textId="77777777" w:rsidR="004A325E" w:rsidRPr="00011957" w:rsidRDefault="004A325E" w:rsidP="00F828BC">
      <w:pPr>
        <w:pStyle w:val="NormalWeb"/>
        <w:shd w:val="clear" w:color="auto" w:fill="FFFFFF"/>
        <w:spacing w:before="0" w:beforeAutospacing="0" w:after="0" w:afterAutospacing="0" w:line="276" w:lineRule="auto"/>
        <w:jc w:val="both"/>
        <w:rPr>
          <w:bCs/>
          <w:spacing w:val="-5"/>
          <w:lang w:val="id-ID"/>
        </w:rPr>
        <w:sectPr w:rsidR="004A325E" w:rsidRPr="00011957" w:rsidSect="00F95EA3">
          <w:type w:val="continuous"/>
          <w:pgSz w:w="11906" w:h="16838" w:code="9"/>
          <w:pgMar w:top="1440" w:right="1440" w:bottom="1440" w:left="1440" w:header="845" w:footer="709" w:gutter="0"/>
          <w:pgNumType w:start="287"/>
          <w:cols w:space="282"/>
          <w:docGrid w:linePitch="299"/>
        </w:sectPr>
      </w:pPr>
    </w:p>
    <w:p w14:paraId="512D1E40" w14:textId="34AA583E" w:rsidR="00FB2ACC" w:rsidRPr="00F828BC" w:rsidRDefault="004A325E" w:rsidP="00F828BC">
      <w:pPr>
        <w:spacing w:after="0" w:line="360" w:lineRule="auto"/>
        <w:jc w:val="center"/>
        <w:rPr>
          <w:rFonts w:ascii="Times New Roman" w:hAnsi="Times New Roman" w:cs="Times New Roman"/>
          <w:b/>
          <w:bCs/>
          <w:sz w:val="24"/>
          <w:szCs w:val="24"/>
        </w:rPr>
      </w:pPr>
      <w:r w:rsidRPr="00F828BC">
        <w:rPr>
          <w:rFonts w:ascii="Times New Roman" w:hAnsi="Times New Roman" w:cs="Times New Roman"/>
          <w:b/>
          <w:sz w:val="24"/>
          <w:szCs w:val="24"/>
        </w:rPr>
        <w:lastRenderedPageBreak/>
        <w:t xml:space="preserve">Gambar </w:t>
      </w:r>
      <w:r w:rsidR="00F828BC" w:rsidRPr="00F828BC">
        <w:rPr>
          <w:rFonts w:ascii="Times New Roman" w:hAnsi="Times New Roman" w:cs="Times New Roman"/>
          <w:b/>
          <w:sz w:val="24"/>
          <w:szCs w:val="24"/>
        </w:rPr>
        <w:t>1</w:t>
      </w:r>
      <w:r w:rsidRPr="00F828BC">
        <w:rPr>
          <w:rFonts w:ascii="Times New Roman" w:hAnsi="Times New Roman" w:cs="Times New Roman"/>
          <w:b/>
          <w:sz w:val="24"/>
          <w:szCs w:val="24"/>
        </w:rPr>
        <w:t xml:space="preserve">. Efektivitas </w:t>
      </w:r>
      <w:r w:rsidR="00F828BC" w:rsidRPr="00F828BC">
        <w:rPr>
          <w:rFonts w:ascii="Times New Roman" w:hAnsi="Times New Roman" w:cs="Times New Roman"/>
          <w:b/>
          <w:bCs/>
          <w:sz w:val="24"/>
          <w:szCs w:val="24"/>
        </w:rPr>
        <w:t>Pembelajaran dengan Menggunakan Pendekatan IAM</w:t>
      </w:r>
    </w:p>
    <w:p w14:paraId="4AEE5D62" w14:textId="77777777" w:rsidR="00FB2ACC" w:rsidRPr="00011957" w:rsidRDefault="00FB2ACC" w:rsidP="00F828BC">
      <w:pPr>
        <w:pStyle w:val="NormalWeb"/>
        <w:shd w:val="clear" w:color="auto" w:fill="FFFFFF"/>
        <w:spacing w:before="0" w:beforeAutospacing="0" w:after="0" w:afterAutospacing="0" w:line="276" w:lineRule="auto"/>
        <w:ind w:firstLine="720"/>
        <w:rPr>
          <w:bCs/>
          <w:spacing w:val="-5"/>
          <w:lang w:val="id-ID"/>
        </w:rPr>
        <w:sectPr w:rsidR="00FB2ACC" w:rsidRPr="00011957" w:rsidSect="004A325E">
          <w:type w:val="continuous"/>
          <w:pgSz w:w="11906" w:h="16838" w:code="9"/>
          <w:pgMar w:top="1440" w:right="1440" w:bottom="1440" w:left="1440" w:header="845" w:footer="709" w:gutter="0"/>
          <w:pgNumType w:start="84"/>
          <w:cols w:space="282"/>
          <w:titlePg/>
          <w:docGrid w:linePitch="299"/>
        </w:sectPr>
      </w:pPr>
    </w:p>
    <w:p w14:paraId="77F3D1C0" w14:textId="69EB3D01" w:rsidR="00F828BC" w:rsidRDefault="00F828BC" w:rsidP="00BC3F16">
      <w:pPr>
        <w:spacing w:after="0" w:line="240" w:lineRule="auto"/>
        <w:ind w:firstLine="709"/>
        <w:jc w:val="both"/>
        <w:rPr>
          <w:rFonts w:ascii="Times New Roman" w:hAnsi="Times New Roman" w:cs="Times New Roman"/>
          <w:sz w:val="24"/>
          <w:szCs w:val="24"/>
        </w:rPr>
      </w:pPr>
      <w:r w:rsidRPr="00F828BC">
        <w:rPr>
          <w:rFonts w:ascii="Times New Roman" w:hAnsi="Times New Roman" w:cs="Times New Roman"/>
          <w:sz w:val="24"/>
          <w:szCs w:val="24"/>
        </w:rPr>
        <w:lastRenderedPageBreak/>
        <w:t>Efektivitas pembelajaran dengan menggunakan pendekatan IAM sebagai berikut: (1) peningkatan keterampilan mengajar diperoleh skor 5 dengan kategori signifikan; (2) pengaruh terhadap hasil belajar siswa diperoleh skor 4 dengan kategori berdampak; (3) efektivitas dalam meningkatkan refleksi diperoleh skor 5 dengan kategori sangat efektif; (4) keterlibatan siswa diperoleh skor 5 dengan kategori sangat meningkat; (5) kesesuaian dengan tujuan pembelajaran diperoleh skor 4 dengan kategori sesuai; (6) keberhasilan implementasi diperoleh skor 5 dengan kategori sangat berhasil; (7) kesesuaian dengan kurikulum diperoleh skor 4 dengan kategori sesuai; dan (8) inovasi dan kreativitas dalam pembelajaran diperoleh skor 5 dengan ketegori sangat inovatif. Persentase capaian secara keseluruhan diperoleh 92.50% dengan kategori Sangat Efeketif. Berdasarkan temuan ini dapat disimpulkan bahwa pendekatan IAM sangat efektif digunakan dalam meningkatkan kemampuan reflektif guru dalam mengajar di SD.</w:t>
      </w:r>
    </w:p>
    <w:p w14:paraId="25D5A184" w14:textId="5766FD56" w:rsidR="00F828BC" w:rsidRDefault="00F828BC" w:rsidP="00F828BC">
      <w:pPr>
        <w:spacing w:after="0" w:line="240" w:lineRule="auto"/>
        <w:jc w:val="both"/>
        <w:rPr>
          <w:rFonts w:ascii="Times New Roman" w:hAnsi="Times New Roman" w:cs="Times New Roman"/>
          <w:b/>
          <w:bCs/>
          <w:sz w:val="24"/>
          <w:szCs w:val="24"/>
        </w:rPr>
      </w:pPr>
      <w:r w:rsidRPr="00F828BC">
        <w:rPr>
          <w:rFonts w:ascii="Times New Roman" w:hAnsi="Times New Roman" w:cs="Times New Roman"/>
          <w:b/>
          <w:bCs/>
          <w:sz w:val="24"/>
          <w:szCs w:val="24"/>
        </w:rPr>
        <w:t>Pembahasan</w:t>
      </w:r>
    </w:p>
    <w:p w14:paraId="7B75F7AA" w14:textId="77777777" w:rsidR="00F828BC" w:rsidRDefault="00F828BC" w:rsidP="00F828BC">
      <w:pPr>
        <w:spacing w:after="0" w:line="240" w:lineRule="auto"/>
        <w:ind w:firstLine="709"/>
        <w:jc w:val="both"/>
        <w:rPr>
          <w:rFonts w:ascii="Times New Roman" w:hAnsi="Times New Roman"/>
          <w:bCs/>
          <w:sz w:val="24"/>
          <w:szCs w:val="24"/>
        </w:rPr>
      </w:pPr>
      <w:r>
        <w:rPr>
          <w:rFonts w:ascii="Times New Roman" w:hAnsi="Times New Roman"/>
          <w:bCs/>
          <w:sz w:val="24"/>
          <w:szCs w:val="24"/>
        </w:rPr>
        <w:t>H</w:t>
      </w:r>
      <w:r w:rsidRPr="00E72BDB">
        <w:rPr>
          <w:rFonts w:ascii="Times New Roman" w:hAnsi="Times New Roman"/>
          <w:bCs/>
          <w:sz w:val="24"/>
          <w:szCs w:val="24"/>
        </w:rPr>
        <w:t>asil penelitian pengembangan model guru reflektif dengan pendekatan IAM (</w:t>
      </w:r>
      <w:r w:rsidRPr="00E27E1E">
        <w:rPr>
          <w:rFonts w:ascii="Times New Roman" w:hAnsi="Times New Roman"/>
          <w:bCs/>
          <w:i/>
          <w:iCs/>
          <w:sz w:val="24"/>
          <w:szCs w:val="24"/>
        </w:rPr>
        <w:t>Inspired, Adopt, and Magnify</w:t>
      </w:r>
      <w:r w:rsidRPr="00E72BDB">
        <w:rPr>
          <w:rFonts w:ascii="Times New Roman" w:hAnsi="Times New Roman"/>
          <w:bCs/>
          <w:sz w:val="24"/>
          <w:szCs w:val="24"/>
        </w:rPr>
        <w:t xml:space="preserve">), menganalisis sejauh mana model ini memenuhi tujuan yang diharapkan dan dampaknya terhadap proses </w:t>
      </w:r>
      <w:r w:rsidRPr="00E72BDB">
        <w:rPr>
          <w:rFonts w:ascii="Times New Roman" w:hAnsi="Times New Roman"/>
          <w:bCs/>
          <w:sz w:val="24"/>
          <w:szCs w:val="24"/>
        </w:rPr>
        <w:lastRenderedPageBreak/>
        <w:t>pengajaran serta hasil belajar. Uji efektivitas ini bertujuan untuk mengevaluasi seberapa baik model ini bekerja dalam praktik nyata dan memberikan dampak positif bagi mahasiswa dan siswa.</w:t>
      </w:r>
    </w:p>
    <w:p w14:paraId="77AB3BB3" w14:textId="77777777" w:rsidR="00F828BC" w:rsidRDefault="00F828BC" w:rsidP="00F828BC">
      <w:pPr>
        <w:spacing w:after="0" w:line="240" w:lineRule="auto"/>
        <w:ind w:firstLine="709"/>
        <w:jc w:val="both"/>
        <w:rPr>
          <w:rFonts w:ascii="Times New Roman" w:hAnsi="Times New Roman"/>
          <w:bCs/>
          <w:sz w:val="24"/>
          <w:szCs w:val="24"/>
        </w:rPr>
      </w:pPr>
      <w:r>
        <w:rPr>
          <w:rFonts w:ascii="Times New Roman" w:hAnsi="Times New Roman"/>
          <w:bCs/>
          <w:sz w:val="24"/>
          <w:szCs w:val="24"/>
        </w:rPr>
        <w:t>Pada aspek keterampilan mengajar diperoleh temuan berikut:</w:t>
      </w:r>
      <w:r w:rsidRPr="00E921DF">
        <w:rPr>
          <w:rFonts w:ascii="Times New Roman" w:hAnsi="Times New Roman"/>
          <w:sz w:val="24"/>
          <w:szCs w:val="24"/>
        </w:rPr>
        <w:t xml:space="preserve"> (a) </w:t>
      </w:r>
      <w:r w:rsidRPr="00E72BDB">
        <w:rPr>
          <w:rFonts w:ascii="Times New Roman" w:hAnsi="Times New Roman"/>
          <w:sz w:val="24"/>
          <w:szCs w:val="24"/>
        </w:rPr>
        <w:t>model ini telah menunjukkan dampak positif dalam peningkatan keterampilan mengajar mahasiswa. Mahasiswa melaporkan bahwa mereka merasa lebih siap dan percaya diri dalam merancang kegiatan pembelajaran yang reflektif dan terstruktur</w:t>
      </w:r>
      <w:r w:rsidRPr="00E921DF">
        <w:rPr>
          <w:rFonts w:ascii="Times New Roman" w:hAnsi="Times New Roman"/>
          <w:sz w:val="24"/>
          <w:szCs w:val="24"/>
        </w:rPr>
        <w:t>; (b)</w:t>
      </w:r>
      <w:r>
        <w:rPr>
          <w:rFonts w:ascii="Times New Roman" w:hAnsi="Times New Roman"/>
          <w:sz w:val="24"/>
          <w:szCs w:val="24"/>
        </w:rPr>
        <w:t xml:space="preserve"> m</w:t>
      </w:r>
      <w:r w:rsidRPr="00E72BDB">
        <w:rPr>
          <w:rFonts w:ascii="Times New Roman" w:hAnsi="Times New Roman"/>
          <w:sz w:val="24"/>
          <w:szCs w:val="24"/>
        </w:rPr>
        <w:t>odel ini telah membantu mahasiswa dalam perencanaan dan pelaksanaan pembelajaran. Mahasiswa merasa lebih terorganisir dan efisien dalam merancang kegiatan pembelajaran berkat panduan dan struktur yang diberikan oleh model.</w:t>
      </w:r>
    </w:p>
    <w:p w14:paraId="7F1E4779" w14:textId="476E5E0A" w:rsidR="00F828BC" w:rsidRPr="00E27E1E" w:rsidRDefault="00F828BC" w:rsidP="00F828BC">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Aspek dampak terhadap hasil belajar siswa diperoleh temuan berikut: (a) </w:t>
      </w:r>
      <w:r w:rsidRPr="00E72BDB">
        <w:rPr>
          <w:rFonts w:ascii="Times New Roman" w:hAnsi="Times New Roman"/>
          <w:sz w:val="24"/>
          <w:szCs w:val="24"/>
        </w:rPr>
        <w:t xml:space="preserve">model ini memiliki dampak positif terhadap hasil belajar siswa. Dosen melaporkan bahwa siswa menunjukkan peningkatan pemahaman </w:t>
      </w:r>
      <w:r>
        <w:rPr>
          <w:rFonts w:ascii="Times New Roman" w:hAnsi="Times New Roman"/>
          <w:sz w:val="24"/>
          <w:szCs w:val="24"/>
        </w:rPr>
        <w:t>materi yang dipelajari</w:t>
      </w:r>
      <w:r w:rsidRPr="00E72BDB">
        <w:rPr>
          <w:rFonts w:ascii="Times New Roman" w:hAnsi="Times New Roman"/>
          <w:sz w:val="24"/>
          <w:szCs w:val="24"/>
        </w:rPr>
        <w:t xml:space="preserve"> setelah penerapan model ini</w:t>
      </w:r>
      <w:r w:rsidRPr="00E921DF">
        <w:rPr>
          <w:rFonts w:ascii="Times New Roman" w:hAnsi="Times New Roman"/>
          <w:sz w:val="24"/>
          <w:szCs w:val="24"/>
        </w:rPr>
        <w:t xml:space="preserve">; </w:t>
      </w:r>
      <w:r>
        <w:rPr>
          <w:rFonts w:ascii="Times New Roman" w:hAnsi="Times New Roman"/>
          <w:sz w:val="24"/>
          <w:szCs w:val="24"/>
        </w:rPr>
        <w:t>(b) m</w:t>
      </w:r>
      <w:r w:rsidRPr="00E72BDB">
        <w:rPr>
          <w:rFonts w:ascii="Times New Roman" w:hAnsi="Times New Roman"/>
          <w:sz w:val="24"/>
          <w:szCs w:val="24"/>
        </w:rPr>
        <w:t>odel ini diterapkan dengan baik dalam konteks kelas dan terlihat memberikan peningkatan dalam kualitas pengajaran. Mahasiswa merasa bahwa model ini membantu mereka dalam menciptakan lingkungan belajar yang lebih produktif dan menarik bagi siswa.</w:t>
      </w:r>
    </w:p>
    <w:p w14:paraId="47A8DA21" w14:textId="77777777" w:rsidR="00F828BC" w:rsidRPr="00315F61" w:rsidRDefault="00F828BC" w:rsidP="00315F61">
      <w:pPr>
        <w:spacing w:after="0" w:line="240" w:lineRule="auto"/>
        <w:jc w:val="both"/>
        <w:rPr>
          <w:rFonts w:ascii="Times New Roman" w:hAnsi="Times New Roman"/>
          <w:b/>
          <w:bCs/>
          <w:i/>
          <w:iCs/>
          <w:sz w:val="24"/>
          <w:szCs w:val="24"/>
        </w:rPr>
      </w:pPr>
      <w:r w:rsidRPr="00315F61">
        <w:rPr>
          <w:rFonts w:ascii="Times New Roman" w:hAnsi="Times New Roman"/>
          <w:b/>
          <w:bCs/>
          <w:i/>
          <w:iCs/>
          <w:sz w:val="24"/>
          <w:szCs w:val="24"/>
        </w:rPr>
        <w:lastRenderedPageBreak/>
        <w:t>Efektivitas dalam Meningkatkan Refleksi</w:t>
      </w:r>
    </w:p>
    <w:p w14:paraId="33C4F07E" w14:textId="77777777" w:rsidR="00F828BC" w:rsidRPr="00781DE6" w:rsidRDefault="00F828BC" w:rsidP="00315F61">
      <w:pPr>
        <w:spacing w:after="0" w:line="240" w:lineRule="auto"/>
        <w:ind w:firstLine="709"/>
        <w:jc w:val="both"/>
        <w:rPr>
          <w:rFonts w:ascii="Times New Roman" w:hAnsi="Times New Roman"/>
          <w:b/>
          <w:bCs/>
          <w:sz w:val="24"/>
          <w:szCs w:val="24"/>
        </w:rPr>
      </w:pPr>
      <w:r w:rsidRPr="00781DE6">
        <w:rPr>
          <w:rFonts w:ascii="Times New Roman" w:hAnsi="Times New Roman"/>
          <w:sz w:val="24"/>
          <w:szCs w:val="24"/>
        </w:rPr>
        <w:t>Model ini efektif dalam meningkatkan keterampilan reflektif mahasiswa. Mahasiswa melaporkan bahwa mereka lebih sering melakukan refleksi terhadap praktik mengajar mereka dan merasa lebih mampu untuk menganalisis dan mengevaluasi pendekatan mereka dalam pengajaran; (b) Praktik Reflektif: Model ini mendukung praktik reflektif dengan baik. Mahasiswa merasa bahwa model ini memberikan alat dan teknik yang berguna untuk melakukan refleksi yang mendalam dan konstruktif.</w:t>
      </w:r>
    </w:p>
    <w:p w14:paraId="254AD6B6" w14:textId="77777777" w:rsidR="00F828BC" w:rsidRPr="00315F61" w:rsidRDefault="00F828BC" w:rsidP="00315F61">
      <w:pPr>
        <w:spacing w:after="0" w:line="240" w:lineRule="auto"/>
        <w:jc w:val="both"/>
        <w:rPr>
          <w:rFonts w:ascii="Times New Roman" w:hAnsi="Times New Roman"/>
          <w:b/>
          <w:bCs/>
          <w:i/>
          <w:iCs/>
          <w:sz w:val="24"/>
          <w:szCs w:val="24"/>
        </w:rPr>
      </w:pPr>
      <w:r w:rsidRPr="00315F61">
        <w:rPr>
          <w:rFonts w:ascii="Times New Roman" w:hAnsi="Times New Roman"/>
          <w:b/>
          <w:bCs/>
          <w:i/>
          <w:iCs/>
          <w:sz w:val="24"/>
          <w:szCs w:val="24"/>
        </w:rPr>
        <w:t>Keterlibatan dan Partisipasi</w:t>
      </w:r>
    </w:p>
    <w:p w14:paraId="431BBBCA" w14:textId="701A84DD" w:rsidR="00F828BC" w:rsidRPr="00781DE6" w:rsidRDefault="00F828BC" w:rsidP="00315F61">
      <w:pPr>
        <w:spacing w:after="0" w:line="240" w:lineRule="auto"/>
        <w:ind w:firstLine="709"/>
        <w:jc w:val="both"/>
        <w:rPr>
          <w:rFonts w:ascii="Times New Roman" w:hAnsi="Times New Roman"/>
          <w:b/>
          <w:bCs/>
          <w:sz w:val="24"/>
          <w:szCs w:val="24"/>
        </w:rPr>
      </w:pPr>
      <w:r w:rsidRPr="00781DE6">
        <w:rPr>
          <w:rFonts w:ascii="Times New Roman" w:hAnsi="Times New Roman"/>
          <w:sz w:val="24"/>
          <w:szCs w:val="24"/>
        </w:rPr>
        <w:t>Model ini dianggap meningkatkan keterlibatan dan partisipasi mahasiswa. Mahasiswa merasa lebih terlibat dalam proses belajar ketika menggunakan model ini, yang membantu mereka dalam memahami dan menerapkan materi dengan lebih baik; (b) Keterlibatan Siswa: Model ini juga meningkatkan keterlibatan siswa dalam kegiatan pembelajaran. Dosen melaporkan bahwa siswa menunjukkan minat yang lebih besar dan partisipasi aktif dalam kegiatan yang didasarkan pada model ini.</w:t>
      </w:r>
    </w:p>
    <w:p w14:paraId="1A000CA7" w14:textId="77777777" w:rsidR="00F828BC" w:rsidRPr="00315F61" w:rsidRDefault="00F828BC" w:rsidP="00315F61">
      <w:pPr>
        <w:spacing w:after="0" w:line="240" w:lineRule="auto"/>
        <w:jc w:val="both"/>
        <w:rPr>
          <w:rFonts w:ascii="Times New Roman" w:hAnsi="Times New Roman"/>
          <w:b/>
          <w:bCs/>
          <w:i/>
          <w:iCs/>
          <w:sz w:val="24"/>
          <w:szCs w:val="24"/>
        </w:rPr>
      </w:pPr>
      <w:r w:rsidRPr="00315F61">
        <w:rPr>
          <w:rFonts w:ascii="Times New Roman" w:hAnsi="Times New Roman"/>
          <w:b/>
          <w:bCs/>
          <w:i/>
          <w:iCs/>
          <w:sz w:val="24"/>
          <w:szCs w:val="24"/>
        </w:rPr>
        <w:t>Kesesuaian dengan Tujuan Pembelajaran</w:t>
      </w:r>
    </w:p>
    <w:p w14:paraId="1F9824A1" w14:textId="749EF553" w:rsidR="00315F61" w:rsidRPr="00BC3F16" w:rsidRDefault="00F828BC" w:rsidP="00BC3F16">
      <w:pPr>
        <w:spacing w:after="0" w:line="240" w:lineRule="auto"/>
        <w:ind w:firstLine="709"/>
        <w:jc w:val="both"/>
        <w:rPr>
          <w:rFonts w:ascii="Times New Roman" w:hAnsi="Times New Roman"/>
          <w:sz w:val="24"/>
          <w:szCs w:val="24"/>
        </w:rPr>
      </w:pPr>
      <w:r w:rsidRPr="00781DE6">
        <w:rPr>
          <w:rFonts w:ascii="Times New Roman" w:hAnsi="Times New Roman"/>
          <w:sz w:val="24"/>
          <w:szCs w:val="24"/>
        </w:rPr>
        <w:t xml:space="preserve">Model ini efektif dalam mencapai tujuan pembelajaran yang ditetapkan. Mahasiswa dan dosen merasa bahwa model ini mendukung pencapaian hasil yang diinginkan </w:t>
      </w:r>
      <w:r>
        <w:rPr>
          <w:rFonts w:ascii="Times New Roman" w:hAnsi="Times New Roman"/>
          <w:sz w:val="24"/>
          <w:szCs w:val="24"/>
        </w:rPr>
        <w:t xml:space="preserve">dalam pembelajaran. </w:t>
      </w:r>
      <w:r w:rsidRPr="00781DE6">
        <w:rPr>
          <w:rFonts w:ascii="Times New Roman" w:hAnsi="Times New Roman"/>
          <w:sz w:val="24"/>
          <w:szCs w:val="24"/>
        </w:rPr>
        <w:t xml:space="preserve">Model ini sesuai dengan kebutuhan pembelajaran mahasiswa dan siswa. Model ini memberikan solusi yang relevan dan praktis untuk berbagai tantangan yang dihadapi dalam </w:t>
      </w:r>
      <w:r>
        <w:rPr>
          <w:rFonts w:ascii="Times New Roman" w:hAnsi="Times New Roman"/>
          <w:sz w:val="24"/>
          <w:szCs w:val="24"/>
        </w:rPr>
        <w:t>pembelajaran</w:t>
      </w:r>
      <w:r w:rsidRPr="00781DE6">
        <w:rPr>
          <w:rFonts w:ascii="Times New Roman" w:hAnsi="Times New Roman"/>
          <w:sz w:val="24"/>
          <w:szCs w:val="24"/>
        </w:rPr>
        <w:t>.</w:t>
      </w:r>
    </w:p>
    <w:p w14:paraId="78201CEC" w14:textId="77777777" w:rsidR="00F828BC" w:rsidRPr="00315F61" w:rsidRDefault="00F828BC" w:rsidP="00315F61">
      <w:pPr>
        <w:spacing w:after="0" w:line="240" w:lineRule="auto"/>
        <w:jc w:val="both"/>
        <w:rPr>
          <w:rFonts w:ascii="Times New Roman" w:hAnsi="Times New Roman"/>
          <w:b/>
          <w:bCs/>
          <w:i/>
          <w:iCs/>
          <w:sz w:val="24"/>
          <w:szCs w:val="24"/>
        </w:rPr>
      </w:pPr>
      <w:r w:rsidRPr="00315F61">
        <w:rPr>
          <w:rFonts w:ascii="Times New Roman" w:hAnsi="Times New Roman"/>
          <w:b/>
          <w:bCs/>
          <w:i/>
          <w:iCs/>
          <w:sz w:val="24"/>
          <w:szCs w:val="24"/>
        </w:rPr>
        <w:t>Keterpaduan dan Integrasi</w:t>
      </w:r>
    </w:p>
    <w:p w14:paraId="3D86A7C0" w14:textId="7FFA6E2D" w:rsidR="001D174F" w:rsidRDefault="00F828BC" w:rsidP="00315F61">
      <w:pPr>
        <w:spacing w:after="0" w:line="240" w:lineRule="auto"/>
        <w:ind w:firstLine="709"/>
        <w:jc w:val="both"/>
        <w:rPr>
          <w:rFonts w:ascii="Times New Roman" w:hAnsi="Times New Roman"/>
          <w:sz w:val="24"/>
          <w:szCs w:val="24"/>
        </w:rPr>
      </w:pPr>
      <w:r w:rsidRPr="00781DE6">
        <w:rPr>
          <w:rFonts w:ascii="Times New Roman" w:hAnsi="Times New Roman"/>
          <w:sz w:val="24"/>
          <w:szCs w:val="24"/>
        </w:rPr>
        <w:t>Model ini terintegrasi dengan baik dalam aktivitas pembelajaran. Mahasiswa merasa bahwa model ini memberikan struktur yang baik dan mendukung integrasi berbagai elemen dalam proses pembelajaran</w:t>
      </w:r>
      <w:r w:rsidR="00315F61">
        <w:rPr>
          <w:rFonts w:ascii="Times New Roman" w:hAnsi="Times New Roman"/>
          <w:sz w:val="24"/>
          <w:szCs w:val="24"/>
        </w:rPr>
        <w:t xml:space="preserve">. </w:t>
      </w:r>
      <w:r w:rsidRPr="00781DE6">
        <w:rPr>
          <w:rFonts w:ascii="Times New Roman" w:hAnsi="Times New Roman"/>
          <w:sz w:val="24"/>
          <w:szCs w:val="24"/>
        </w:rPr>
        <w:t>Metode dalam model terintegrasi dengan baik, dengan beberapa saran untuk memperbaiki beberapa aspek agar lebih seamless dan terintegrasi dalam praktik pengajaran.</w:t>
      </w:r>
    </w:p>
    <w:p w14:paraId="73F42D9A" w14:textId="77777777" w:rsidR="00877E3C" w:rsidRDefault="00877E3C" w:rsidP="00C57FC0">
      <w:pPr>
        <w:spacing w:after="0" w:line="276" w:lineRule="auto"/>
        <w:ind w:right="-5"/>
        <w:rPr>
          <w:rFonts w:ascii="Times New Roman" w:hAnsi="Times New Roman" w:cs="Times New Roman"/>
          <w:b/>
          <w:color w:val="000000"/>
          <w:sz w:val="24"/>
          <w:szCs w:val="24"/>
          <w:lang w:val="en-US"/>
        </w:rPr>
      </w:pPr>
    </w:p>
    <w:p w14:paraId="71DE3814" w14:textId="3FB73EE2" w:rsidR="00206C82" w:rsidRPr="00011957" w:rsidRDefault="00CA7DA2" w:rsidP="00C57FC0">
      <w:pPr>
        <w:spacing w:after="0" w:line="276" w:lineRule="auto"/>
        <w:ind w:right="-5"/>
        <w:rPr>
          <w:rFonts w:ascii="Times New Roman" w:hAnsi="Times New Roman" w:cs="Times New Roman"/>
          <w:b/>
          <w:color w:val="000000"/>
          <w:sz w:val="24"/>
          <w:szCs w:val="24"/>
          <w:lang w:val="en-US"/>
        </w:rPr>
      </w:pPr>
      <w:r w:rsidRPr="00011957">
        <w:rPr>
          <w:rFonts w:ascii="Times New Roman" w:hAnsi="Times New Roman" w:cs="Times New Roman"/>
          <w:b/>
          <w:color w:val="000000"/>
          <w:sz w:val="24"/>
          <w:szCs w:val="24"/>
          <w:lang w:val="en-US"/>
        </w:rPr>
        <w:t>SIMPULAN</w:t>
      </w:r>
    </w:p>
    <w:p w14:paraId="04AAA309" w14:textId="046E9893" w:rsidR="00315F61" w:rsidRDefault="00315F61" w:rsidP="00F011AC">
      <w:pPr>
        <w:spacing w:after="0" w:line="240" w:lineRule="auto"/>
        <w:ind w:firstLine="709"/>
        <w:jc w:val="both"/>
        <w:rPr>
          <w:rFonts w:ascii="Times New Roman" w:hAnsi="Times New Roman"/>
          <w:bCs/>
          <w:sz w:val="24"/>
          <w:szCs w:val="24"/>
        </w:rPr>
      </w:pPr>
      <w:r w:rsidRPr="00E72BDB">
        <w:rPr>
          <w:rFonts w:ascii="Times New Roman" w:hAnsi="Times New Roman"/>
          <w:bCs/>
          <w:sz w:val="24"/>
          <w:szCs w:val="24"/>
        </w:rPr>
        <w:lastRenderedPageBreak/>
        <w:t>Secara keseluruhan, hasil uji efektivitas menunjukkan bahwa Model Guru Reflektif dengan pendekatan IAM berhasil mencapai banyak dari tujuan yang diharapkan. Model ini terbukti meningkatkan keterampilan mengajar mahasiswa, memberikan dampak positif pada hasil belajar siswa, dan mendukung praktik reflektif dengan efektif. Model ini juga meningkatkan keterlibatan dan partisipasi baik mahasiswa maupun siswa. Beberapa area untuk perbaikan meliputi penyesuaian dalam integrasi metode dan penyempurnaan beberapa aspek untuk meningkatkan efektivitas lebih lanjut. Feedback ini memberikan gambaran yang jelas tentang keberhasilan model serta area yang perlu diperbaiki untuk memastikan hasil yang lebih baik di masa depan.</w:t>
      </w:r>
      <w:r>
        <w:rPr>
          <w:rFonts w:ascii="Times New Roman" w:hAnsi="Times New Roman"/>
          <w:bCs/>
          <w:sz w:val="24"/>
          <w:szCs w:val="24"/>
        </w:rPr>
        <w:t xml:space="preserve"> </w:t>
      </w:r>
    </w:p>
    <w:p w14:paraId="0B9DEF1D" w14:textId="77777777" w:rsidR="00315F61" w:rsidRDefault="00315F61" w:rsidP="00315F61">
      <w:pPr>
        <w:spacing w:after="0" w:line="276" w:lineRule="auto"/>
        <w:ind w:right="-5"/>
        <w:jc w:val="both"/>
        <w:rPr>
          <w:rFonts w:ascii="Times New Roman" w:hAnsi="Times New Roman" w:cs="Times New Roman"/>
          <w:b/>
          <w:color w:val="000000"/>
          <w:sz w:val="24"/>
          <w:szCs w:val="24"/>
          <w:lang w:val="en-US"/>
        </w:rPr>
      </w:pPr>
    </w:p>
    <w:p w14:paraId="564B7298" w14:textId="494E6903" w:rsidR="002149DA" w:rsidRDefault="00CA7DA2" w:rsidP="00315F61">
      <w:pPr>
        <w:spacing w:after="0" w:line="276" w:lineRule="auto"/>
        <w:ind w:right="-5"/>
        <w:jc w:val="both"/>
        <w:rPr>
          <w:rFonts w:ascii="Times New Roman" w:hAnsi="Times New Roman" w:cs="Times New Roman"/>
          <w:b/>
          <w:color w:val="000000"/>
          <w:sz w:val="24"/>
          <w:szCs w:val="24"/>
          <w:lang w:val="en-US"/>
        </w:rPr>
      </w:pPr>
      <w:r w:rsidRPr="00011957">
        <w:rPr>
          <w:rFonts w:ascii="Times New Roman" w:hAnsi="Times New Roman" w:cs="Times New Roman"/>
          <w:b/>
          <w:color w:val="000000"/>
          <w:sz w:val="24"/>
          <w:szCs w:val="24"/>
          <w:lang w:val="en-US"/>
        </w:rPr>
        <w:t xml:space="preserve">DAFTAR RUJUKAN </w:t>
      </w:r>
    </w:p>
    <w:p w14:paraId="73AE3AB5" w14:textId="51233F4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color w:val="000000"/>
          <w:sz w:val="24"/>
          <w:szCs w:val="24"/>
          <w:lang w:val="en-US"/>
        </w:rPr>
        <w:fldChar w:fldCharType="begin" w:fldLock="1"/>
      </w:r>
      <w:r>
        <w:rPr>
          <w:rFonts w:ascii="Times New Roman" w:hAnsi="Times New Roman" w:cs="Times New Roman"/>
          <w:b/>
          <w:color w:val="000000"/>
          <w:sz w:val="24"/>
          <w:szCs w:val="24"/>
          <w:lang w:val="en-US"/>
        </w:rPr>
        <w:instrText xml:space="preserve">ADDIN Mendeley Bibliography CSL_BIBLIOGRAPHY </w:instrText>
      </w:r>
      <w:r>
        <w:rPr>
          <w:rFonts w:ascii="Times New Roman" w:hAnsi="Times New Roman" w:cs="Times New Roman"/>
          <w:b/>
          <w:color w:val="000000"/>
          <w:sz w:val="24"/>
          <w:szCs w:val="24"/>
          <w:lang w:val="en-US"/>
        </w:rPr>
        <w:fldChar w:fldCharType="separate"/>
      </w:r>
      <w:r w:rsidRPr="00C7309A">
        <w:rPr>
          <w:rFonts w:ascii="Times New Roman" w:hAnsi="Times New Roman" w:cs="Times New Roman"/>
          <w:noProof/>
          <w:sz w:val="24"/>
          <w:szCs w:val="24"/>
        </w:rPr>
        <w:t xml:space="preserve">Alnajjar, PhD, H. A., &amp; Abou Hashish, PhD, E. A. (2021). Academic Ethical Awareness and Moral Sensitivity of Undergraduate Nursing Students: Assessment and Influencing Factors. </w:t>
      </w:r>
      <w:r w:rsidRPr="00C7309A">
        <w:rPr>
          <w:rFonts w:ascii="Times New Roman" w:hAnsi="Times New Roman" w:cs="Times New Roman"/>
          <w:i/>
          <w:iCs/>
          <w:noProof/>
          <w:sz w:val="24"/>
          <w:szCs w:val="24"/>
        </w:rPr>
        <w:t>SAGE Open Nursing</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7</w:t>
      </w:r>
      <w:r w:rsidRPr="00C7309A">
        <w:rPr>
          <w:rFonts w:ascii="Times New Roman" w:hAnsi="Times New Roman" w:cs="Times New Roman"/>
          <w:noProof/>
          <w:sz w:val="24"/>
          <w:szCs w:val="24"/>
        </w:rPr>
        <w:t>. https://doi.org/10.1177/23779608211026715</w:t>
      </w:r>
    </w:p>
    <w:p w14:paraId="7E0F3A58"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Buckingham, L. R., López-Hernández, A., &amp; Strotmann, B. (2021). Learning by Comparison: The Benefits of Co-Teaching for University Professors’ Professional Development. </w:t>
      </w:r>
      <w:r w:rsidRPr="00C7309A">
        <w:rPr>
          <w:rFonts w:ascii="Times New Roman" w:hAnsi="Times New Roman" w:cs="Times New Roman"/>
          <w:i/>
          <w:iCs/>
          <w:noProof/>
          <w:sz w:val="24"/>
          <w:szCs w:val="24"/>
        </w:rPr>
        <w:t>Frontiers in Education</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6</w:t>
      </w:r>
      <w:r w:rsidRPr="00C7309A">
        <w:rPr>
          <w:rFonts w:ascii="Times New Roman" w:hAnsi="Times New Roman" w:cs="Times New Roman"/>
          <w:noProof/>
          <w:sz w:val="24"/>
          <w:szCs w:val="24"/>
        </w:rPr>
        <w:t>. https://doi.org/10.3389/feduc.2021.776991</w:t>
      </w:r>
    </w:p>
    <w:p w14:paraId="293E4745"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Cole, C., Hinchcliff, E., &amp; Carling, R. (2022). Reflection as Teachers: Our Critical Developments. </w:t>
      </w:r>
      <w:r w:rsidRPr="00C7309A">
        <w:rPr>
          <w:rFonts w:ascii="Times New Roman" w:hAnsi="Times New Roman" w:cs="Times New Roman"/>
          <w:i/>
          <w:iCs/>
          <w:noProof/>
          <w:sz w:val="24"/>
          <w:szCs w:val="24"/>
        </w:rPr>
        <w:t>Frontiers in Education</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7</w:t>
      </w:r>
      <w:r w:rsidRPr="00C7309A">
        <w:rPr>
          <w:rFonts w:ascii="Times New Roman" w:hAnsi="Times New Roman" w:cs="Times New Roman"/>
          <w:noProof/>
          <w:sz w:val="24"/>
          <w:szCs w:val="24"/>
        </w:rPr>
        <w:t>. https://doi.org/10.3389/feduc.2022.1037280</w:t>
      </w:r>
    </w:p>
    <w:p w14:paraId="5540DAF0"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Doyle, J., Chiari, S., Pearl, P., Ellis, K., Völler, S., Shaw, C., &amp; Hezel, B. (2024). Transforming young adults’ climate learning and actions through a co-created climate communication retreat. </w:t>
      </w:r>
      <w:r w:rsidRPr="00C7309A">
        <w:rPr>
          <w:rFonts w:ascii="Times New Roman" w:hAnsi="Times New Roman" w:cs="Times New Roman"/>
          <w:i/>
          <w:iCs/>
          <w:noProof/>
          <w:sz w:val="24"/>
          <w:szCs w:val="24"/>
        </w:rPr>
        <w:t>Environmental Education Research</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lastRenderedPageBreak/>
        <w:t>0</w:t>
      </w:r>
      <w:r w:rsidRPr="00C7309A">
        <w:rPr>
          <w:rFonts w:ascii="Times New Roman" w:hAnsi="Times New Roman" w:cs="Times New Roman"/>
          <w:noProof/>
          <w:sz w:val="24"/>
          <w:szCs w:val="24"/>
        </w:rPr>
        <w:t>(0), 1–19. https://doi.org/10.1080/13504622.2024.2348693</w:t>
      </w:r>
    </w:p>
    <w:p w14:paraId="341BFDDC"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Faisal, F., Sembiring, M. M., Hatmi, E., &amp; Lova, S. M. (2024). </w:t>
      </w:r>
      <w:r w:rsidRPr="00C7309A">
        <w:rPr>
          <w:rFonts w:ascii="Times New Roman" w:hAnsi="Times New Roman" w:cs="Times New Roman"/>
          <w:i/>
          <w:iCs/>
          <w:noProof/>
          <w:sz w:val="24"/>
          <w:szCs w:val="24"/>
        </w:rPr>
        <w:t>Guru Reflektif dan Adaptif di Sekolah Dasar: Pendekatan IAM (Inspired, Adopt, and Magnify)</w:t>
      </w:r>
      <w:r w:rsidRPr="00C7309A">
        <w:rPr>
          <w:rFonts w:ascii="Times New Roman" w:hAnsi="Times New Roman" w:cs="Times New Roman"/>
          <w:noProof/>
          <w:sz w:val="24"/>
          <w:szCs w:val="24"/>
        </w:rPr>
        <w:t>. 1–23.</w:t>
      </w:r>
    </w:p>
    <w:p w14:paraId="30E69E24"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Faisal, F., Ananda, L., Damanik, S., &amp; Lova, S. (2024). </w:t>
      </w:r>
      <w:r w:rsidRPr="00C7309A">
        <w:rPr>
          <w:rFonts w:ascii="Times New Roman" w:hAnsi="Times New Roman" w:cs="Times New Roman"/>
          <w:i/>
          <w:iCs/>
          <w:noProof/>
          <w:sz w:val="24"/>
          <w:szCs w:val="24"/>
        </w:rPr>
        <w:t>Efforts to Produce Teacher Candidates and Reflective Supervisors Using the IMPRECI Model in Pre-service PPL PPG Universitas Negeri Medan</w:t>
      </w:r>
      <w:r w:rsidRPr="00C7309A">
        <w:rPr>
          <w:rFonts w:ascii="Times New Roman" w:hAnsi="Times New Roman" w:cs="Times New Roman"/>
          <w:noProof/>
          <w:sz w:val="24"/>
          <w:szCs w:val="24"/>
        </w:rPr>
        <w:t>. https://doi.org/10.4108/eai.30-11-2023.2346947</w:t>
      </w:r>
    </w:p>
    <w:p w14:paraId="1A4D8DEB"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Faisal, F., Ananda, L., Lova, S., &amp; Purnomo, T. (2022). </w:t>
      </w:r>
      <w:r w:rsidRPr="00C7309A">
        <w:rPr>
          <w:rFonts w:ascii="Times New Roman" w:hAnsi="Times New Roman" w:cs="Times New Roman"/>
          <w:i/>
          <w:iCs/>
          <w:noProof/>
          <w:sz w:val="24"/>
          <w:szCs w:val="24"/>
        </w:rPr>
        <w:t>Collaborative Nested Action Research (C-NAR): Effective Approach Produces Reflective Teachers in Elementary School</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12</w:t>
      </w:r>
      <w:r w:rsidRPr="00C7309A">
        <w:rPr>
          <w:rFonts w:ascii="Times New Roman" w:hAnsi="Times New Roman" w:cs="Times New Roman"/>
          <w:noProof/>
          <w:sz w:val="24"/>
          <w:szCs w:val="24"/>
        </w:rPr>
        <w:t>. https://doi.org/10.4108/eai.21-12-2021.2317250</w:t>
      </w:r>
    </w:p>
    <w:p w14:paraId="2C4A24BF"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Faisal, F., Sembiring, M. M., Simanungkalit, E., Hatmi, E., &amp; Lova, S. M. (2022). IMPRECI: Inovasi Model Pembimbingan sebagai Upaya Menghasilkan Calon Guru Reflektif di Sekolah Dasar. </w:t>
      </w:r>
      <w:r w:rsidRPr="00C7309A">
        <w:rPr>
          <w:rFonts w:ascii="Times New Roman" w:hAnsi="Times New Roman" w:cs="Times New Roman"/>
          <w:i/>
          <w:iCs/>
          <w:noProof/>
          <w:sz w:val="24"/>
          <w:szCs w:val="24"/>
        </w:rPr>
        <w:t>Elementary School Journal Pgsd Fip Unimed</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12</w:t>
      </w:r>
      <w:r w:rsidRPr="00C7309A">
        <w:rPr>
          <w:rFonts w:ascii="Times New Roman" w:hAnsi="Times New Roman" w:cs="Times New Roman"/>
          <w:noProof/>
          <w:sz w:val="24"/>
          <w:szCs w:val="24"/>
        </w:rPr>
        <w:t>(3), 256. https://doi.org/10.24114/esjpgsd.v12i3.41581</w:t>
      </w:r>
    </w:p>
    <w:p w14:paraId="33708BF4"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Franco-Mariscal, A. J., Cebrián-Robles, D., &amp; Rodríguez-Losada, N. (2023). Impact of a Training Programme on the e-rubric Evaluation of Gamification Resources with Pre-Service Secondary School Science Teachers. </w:t>
      </w:r>
      <w:r w:rsidRPr="00C7309A">
        <w:rPr>
          <w:rFonts w:ascii="Times New Roman" w:hAnsi="Times New Roman" w:cs="Times New Roman"/>
          <w:i/>
          <w:iCs/>
          <w:noProof/>
          <w:sz w:val="24"/>
          <w:szCs w:val="24"/>
        </w:rPr>
        <w:t>Technology, Knowledge and Learning</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28</w:t>
      </w:r>
      <w:r w:rsidRPr="00C7309A">
        <w:rPr>
          <w:rFonts w:ascii="Times New Roman" w:hAnsi="Times New Roman" w:cs="Times New Roman"/>
          <w:noProof/>
          <w:sz w:val="24"/>
          <w:szCs w:val="24"/>
        </w:rPr>
        <w:t>(2), 769–802. https://doi.org/10.1007/s10758-021-09588-1</w:t>
      </w:r>
    </w:p>
    <w:p w14:paraId="7FB5DDF0"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Franco, E., González-Peño, A., Trucharte, P., &amp; Martínez-Majolero, V. (2023). Challenge-based learning approach to teach sports: Exploring perceptions of teaching styles and motivational experiences among student teachers. </w:t>
      </w:r>
      <w:r w:rsidRPr="00C7309A">
        <w:rPr>
          <w:rFonts w:ascii="Times New Roman" w:hAnsi="Times New Roman" w:cs="Times New Roman"/>
          <w:i/>
          <w:iCs/>
          <w:noProof/>
          <w:sz w:val="24"/>
          <w:szCs w:val="24"/>
        </w:rPr>
        <w:t>Journal of Hospitality, Leisure, Sport and Tourism Education</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32</w:t>
      </w:r>
      <w:r w:rsidRPr="00C7309A">
        <w:rPr>
          <w:rFonts w:ascii="Times New Roman" w:hAnsi="Times New Roman" w:cs="Times New Roman"/>
          <w:noProof/>
          <w:sz w:val="24"/>
          <w:szCs w:val="24"/>
        </w:rPr>
        <w:t>(January). https://doi.org/10.1016/j.jhlste.2023.100432</w:t>
      </w:r>
    </w:p>
    <w:p w14:paraId="7F103945"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lastRenderedPageBreak/>
        <w:t xml:space="preserve">Gudeta, D. (2022). Professional Development Through Reflective Practice: The Case of Addis Ababa Secondary School EFL in-Service Teachers. </w:t>
      </w:r>
      <w:r w:rsidRPr="00C7309A">
        <w:rPr>
          <w:rFonts w:ascii="Times New Roman" w:hAnsi="Times New Roman" w:cs="Times New Roman"/>
          <w:i/>
          <w:iCs/>
          <w:noProof/>
          <w:sz w:val="24"/>
          <w:szCs w:val="24"/>
        </w:rPr>
        <w:t>Cogent Education</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9</w:t>
      </w:r>
      <w:r w:rsidRPr="00C7309A">
        <w:rPr>
          <w:rFonts w:ascii="Times New Roman" w:hAnsi="Times New Roman" w:cs="Times New Roman"/>
          <w:noProof/>
          <w:sz w:val="24"/>
          <w:szCs w:val="24"/>
        </w:rPr>
        <w:t>(1). https://doi.org/10.1080/2331186X.2022.2030076</w:t>
      </w:r>
    </w:p>
    <w:p w14:paraId="2C71FA4A"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Guo, J., Bai, L., Yu, Z., Zhao, Z., &amp; Wan, B. (2021). An AI-application-oriented in-class teaching evaluation model by using statistical modeling and ensemble learning. </w:t>
      </w:r>
      <w:r w:rsidRPr="00C7309A">
        <w:rPr>
          <w:rFonts w:ascii="Times New Roman" w:hAnsi="Times New Roman" w:cs="Times New Roman"/>
          <w:i/>
          <w:iCs/>
          <w:noProof/>
          <w:sz w:val="24"/>
          <w:szCs w:val="24"/>
        </w:rPr>
        <w:t>Sensors (Switzerland)</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21</w:t>
      </w:r>
      <w:r w:rsidRPr="00C7309A">
        <w:rPr>
          <w:rFonts w:ascii="Times New Roman" w:hAnsi="Times New Roman" w:cs="Times New Roman"/>
          <w:noProof/>
          <w:sz w:val="24"/>
          <w:szCs w:val="24"/>
        </w:rPr>
        <w:t>(1), 1–28. https://doi.org/10.3390/s21010241</w:t>
      </w:r>
    </w:p>
    <w:p w14:paraId="2B9BA3DA"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Li, Z., Bonk I, C. J., &amp; Zhu, M. (2024). Community in the Open: Supports, Challenges, and Impacts of Local Learning Communities of K-12 Adolescent MOOC Learners from Nepal. </w:t>
      </w:r>
      <w:r w:rsidRPr="00C7309A">
        <w:rPr>
          <w:rFonts w:ascii="Times New Roman" w:hAnsi="Times New Roman" w:cs="Times New Roman"/>
          <w:i/>
          <w:iCs/>
          <w:noProof/>
          <w:sz w:val="24"/>
          <w:szCs w:val="24"/>
        </w:rPr>
        <w:t>Online Learning Journal</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28</w:t>
      </w:r>
      <w:r w:rsidRPr="00C7309A">
        <w:rPr>
          <w:rFonts w:ascii="Times New Roman" w:hAnsi="Times New Roman" w:cs="Times New Roman"/>
          <w:noProof/>
          <w:sz w:val="24"/>
          <w:szCs w:val="24"/>
        </w:rPr>
        <w:t>(3), 497–523. https://doi.org/10.24059/olj.v28i3.3463</w:t>
      </w:r>
    </w:p>
    <w:p w14:paraId="0CE9BA2A"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Manford, C., Rajasingam, S., Allen, P. M., &amp; Beukes, E. (2024). The Barriers to and Facilitators of Academic and Social Success for Deafblind Children and Young People: A Scoping Review. </w:t>
      </w:r>
      <w:r w:rsidRPr="00C7309A">
        <w:rPr>
          <w:rFonts w:ascii="Times New Roman" w:hAnsi="Times New Roman" w:cs="Times New Roman"/>
          <w:i/>
          <w:iCs/>
          <w:noProof/>
          <w:sz w:val="24"/>
          <w:szCs w:val="24"/>
        </w:rPr>
        <w:t>British Journal of Special Education</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51</w:t>
      </w:r>
      <w:r w:rsidRPr="00C7309A">
        <w:rPr>
          <w:rFonts w:ascii="Times New Roman" w:hAnsi="Times New Roman" w:cs="Times New Roman"/>
          <w:noProof/>
          <w:sz w:val="24"/>
          <w:szCs w:val="24"/>
        </w:rPr>
        <w:t>(3), 332–346. https://doi.org/https://doi.org/10.1111/1467-8578.12537</w:t>
      </w:r>
    </w:p>
    <w:p w14:paraId="7D979A2C"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Qureshi, M. I., Khan, N., Raza, H., Imran, A., &amp; Ismail, F. (2021). Digital Technologies in Education 4.0. Does it Enhance the Effectiveness of Learning? </w:t>
      </w:r>
      <w:r w:rsidRPr="00C7309A">
        <w:rPr>
          <w:rFonts w:ascii="Times New Roman" w:hAnsi="Times New Roman" w:cs="Times New Roman"/>
          <w:i/>
          <w:iCs/>
          <w:noProof/>
          <w:sz w:val="24"/>
          <w:szCs w:val="24"/>
        </w:rPr>
        <w:t>International Journal of Interactive Mobile Technologies</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15</w:t>
      </w:r>
      <w:r w:rsidRPr="00C7309A">
        <w:rPr>
          <w:rFonts w:ascii="Times New Roman" w:hAnsi="Times New Roman" w:cs="Times New Roman"/>
          <w:noProof/>
          <w:sz w:val="24"/>
          <w:szCs w:val="24"/>
        </w:rPr>
        <w:t>(4), 31–47. https://doi.org/10.3991/IJIM.V15I04.20291</w:t>
      </w:r>
    </w:p>
    <w:p w14:paraId="3C027DAD"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Santa Maria, D., Cuccaro, P., Bender, K., Sibinga, E., Guerrero, N., Keshwani, N., Jones, J., &amp; Fine, M. (2023). Adapting an Evidence-Based Mindfulness-Based Intervention for Sheltered Youth Experiencing Homelessness. </w:t>
      </w:r>
      <w:r w:rsidRPr="00C7309A">
        <w:rPr>
          <w:rFonts w:ascii="Times New Roman" w:hAnsi="Times New Roman" w:cs="Times New Roman"/>
          <w:i/>
          <w:iCs/>
          <w:noProof/>
          <w:sz w:val="24"/>
          <w:szCs w:val="24"/>
        </w:rPr>
        <w:t>BMC Complementary Medicine and Therapies</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23</w:t>
      </w:r>
      <w:r w:rsidRPr="00C7309A">
        <w:rPr>
          <w:rFonts w:ascii="Times New Roman" w:hAnsi="Times New Roman" w:cs="Times New Roman"/>
          <w:noProof/>
          <w:sz w:val="24"/>
          <w:szCs w:val="24"/>
        </w:rPr>
        <w:t>(1), 1–10. https://doi.org/10.1186/s12906-023-04203-5</w:t>
      </w:r>
    </w:p>
    <w:p w14:paraId="469C1AB5"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Shanti, M. R. S., Istiyono, E., &amp; Munadi, S. </w:t>
      </w:r>
      <w:r w:rsidRPr="00C7309A">
        <w:rPr>
          <w:rFonts w:ascii="Times New Roman" w:hAnsi="Times New Roman" w:cs="Times New Roman"/>
          <w:noProof/>
          <w:sz w:val="24"/>
          <w:szCs w:val="24"/>
        </w:rPr>
        <w:lastRenderedPageBreak/>
        <w:t xml:space="preserve">(2022). The effectiveness of learning to improve students’ higher-order thinking skills. </w:t>
      </w:r>
      <w:r w:rsidRPr="00C7309A">
        <w:rPr>
          <w:rFonts w:ascii="Times New Roman" w:hAnsi="Times New Roman" w:cs="Times New Roman"/>
          <w:i/>
          <w:iCs/>
          <w:noProof/>
          <w:sz w:val="24"/>
          <w:szCs w:val="24"/>
        </w:rPr>
        <w:t>Cypriot Journal of Educational Sciences</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17</w:t>
      </w:r>
      <w:r w:rsidRPr="00C7309A">
        <w:rPr>
          <w:rFonts w:ascii="Times New Roman" w:hAnsi="Times New Roman" w:cs="Times New Roman"/>
          <w:noProof/>
          <w:sz w:val="24"/>
          <w:szCs w:val="24"/>
        </w:rPr>
        <w:t>(5), 1576–1587. https://doi.org/10.18844/cjes.v17i5.7220</w:t>
      </w:r>
    </w:p>
    <w:p w14:paraId="6DB968D1"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7309A">
        <w:rPr>
          <w:rFonts w:ascii="Times New Roman" w:hAnsi="Times New Roman" w:cs="Times New Roman"/>
          <w:noProof/>
          <w:sz w:val="24"/>
          <w:szCs w:val="24"/>
        </w:rPr>
        <w:t xml:space="preserve">Subramaniam, K. (2021). An Investigation of the Organizational Impact of Computer Technology in Secondary Science Classrooms. </w:t>
      </w:r>
      <w:r w:rsidRPr="00C7309A">
        <w:rPr>
          <w:rFonts w:ascii="Times New Roman" w:hAnsi="Times New Roman" w:cs="Times New Roman"/>
          <w:i/>
          <w:iCs/>
          <w:noProof/>
          <w:sz w:val="24"/>
          <w:szCs w:val="24"/>
        </w:rPr>
        <w:t>Eurasia Journal of Mathematics, Science and Technology Education</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17</w:t>
      </w:r>
      <w:r w:rsidRPr="00C7309A">
        <w:rPr>
          <w:rFonts w:ascii="Times New Roman" w:hAnsi="Times New Roman" w:cs="Times New Roman"/>
          <w:noProof/>
          <w:sz w:val="24"/>
          <w:szCs w:val="24"/>
        </w:rPr>
        <w:t>(7), 1–9. https://doi.org/10.29333/EJMSTE/10977</w:t>
      </w:r>
    </w:p>
    <w:p w14:paraId="7CF71CAC" w14:textId="77777777" w:rsidR="00C7309A" w:rsidRPr="00C7309A" w:rsidRDefault="00C7309A" w:rsidP="00BC3F16">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7309A">
        <w:rPr>
          <w:rFonts w:ascii="Times New Roman" w:hAnsi="Times New Roman" w:cs="Times New Roman"/>
          <w:noProof/>
          <w:sz w:val="24"/>
          <w:szCs w:val="24"/>
        </w:rPr>
        <w:t xml:space="preserve">Tapalova, O., &amp; Zhiyenbayeva, N. (2022). Inteligencia artificial en la educación: AIEd para rutas de aprendizaje personalizadas. </w:t>
      </w:r>
      <w:r w:rsidRPr="00C7309A">
        <w:rPr>
          <w:rFonts w:ascii="Times New Roman" w:hAnsi="Times New Roman" w:cs="Times New Roman"/>
          <w:i/>
          <w:iCs/>
          <w:noProof/>
          <w:sz w:val="24"/>
          <w:szCs w:val="24"/>
        </w:rPr>
        <w:t>The Electronic Journal of E-Learning</w:t>
      </w:r>
      <w:r w:rsidRPr="00C7309A">
        <w:rPr>
          <w:rFonts w:ascii="Times New Roman" w:hAnsi="Times New Roman" w:cs="Times New Roman"/>
          <w:noProof/>
          <w:sz w:val="24"/>
          <w:szCs w:val="24"/>
        </w:rPr>
        <w:t xml:space="preserve">, </w:t>
      </w:r>
      <w:r w:rsidRPr="00C7309A">
        <w:rPr>
          <w:rFonts w:ascii="Times New Roman" w:hAnsi="Times New Roman" w:cs="Times New Roman"/>
          <w:i/>
          <w:iCs/>
          <w:noProof/>
          <w:sz w:val="24"/>
          <w:szCs w:val="24"/>
        </w:rPr>
        <w:t>20</w:t>
      </w:r>
      <w:r w:rsidRPr="00C7309A">
        <w:rPr>
          <w:rFonts w:ascii="Times New Roman" w:hAnsi="Times New Roman" w:cs="Times New Roman"/>
          <w:noProof/>
          <w:sz w:val="24"/>
          <w:szCs w:val="24"/>
        </w:rPr>
        <w:t>(5), 639–653. www.ejel.org</w:t>
      </w:r>
    </w:p>
    <w:p w14:paraId="25A1373B" w14:textId="11365D34" w:rsidR="00F30EE3" w:rsidRPr="00BC3F16" w:rsidRDefault="00C7309A" w:rsidP="00BC3F16">
      <w:pPr>
        <w:spacing w:after="0" w:line="276" w:lineRule="auto"/>
        <w:ind w:right="-5"/>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fldChar w:fldCharType="end"/>
      </w:r>
    </w:p>
    <w:sectPr w:rsidR="00F30EE3" w:rsidRPr="00BC3F16" w:rsidSect="00F011AC">
      <w:footerReference w:type="even" r:id="rId16"/>
      <w:type w:val="continuous"/>
      <w:pgSz w:w="11906" w:h="16838" w:code="9"/>
      <w:pgMar w:top="1440" w:right="1440" w:bottom="1440" w:left="1440" w:header="845" w:footer="709" w:gutter="0"/>
      <w:pgNumType w:start="288"/>
      <w:cols w:num="2" w:space="282"/>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F62ACC" w14:textId="77777777" w:rsidR="002F2E85" w:rsidRDefault="002F2E85">
      <w:pPr>
        <w:spacing w:after="0" w:line="240" w:lineRule="auto"/>
      </w:pPr>
      <w:r>
        <w:separator/>
      </w:r>
    </w:p>
  </w:endnote>
  <w:endnote w:type="continuationSeparator" w:id="0">
    <w:p w14:paraId="4892DDF2" w14:textId="77777777" w:rsidR="002F2E85" w:rsidRDefault="002F2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7244362"/>
      <w:docPartObj>
        <w:docPartGallery w:val="Page Numbers (Bottom of Page)"/>
        <w:docPartUnique/>
      </w:docPartObj>
    </w:sdtPr>
    <w:sdtEndPr>
      <w:rPr>
        <w:rStyle w:val="PageNumber"/>
      </w:rPr>
    </w:sdtEndPr>
    <w:sdtContent>
      <w:p w14:paraId="63E25647" w14:textId="24F547E6" w:rsidR="00F011AC" w:rsidRDefault="00F011AC" w:rsidP="00CF6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DBE386" w14:textId="77777777" w:rsidR="00AE6A7A" w:rsidRDefault="00AE6A7A" w:rsidP="00F011AC">
    <w:pPr>
      <w:pStyle w:val="Footer"/>
      <w:ind w:right="360"/>
      <w:jc w:val="right"/>
    </w:pPr>
    <w:r>
      <w:rPr>
        <w:rFonts w:ascii="Times New Roman" w:hAnsi="Times New Roman" w:cs="Times New Roman"/>
        <w:lang w:val="en-US"/>
      </w:rPr>
      <w:t xml:space="preserve">Kata-kata awal dari Judul Artikel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60967873"/>
      <w:docPartObj>
        <w:docPartGallery w:val="Page Numbers (Bottom of Page)"/>
        <w:docPartUnique/>
      </w:docPartObj>
    </w:sdtPr>
    <w:sdtEndPr>
      <w:rPr>
        <w:rStyle w:val="PageNumber"/>
      </w:rPr>
    </w:sdtEndPr>
    <w:sdtContent>
      <w:p w14:paraId="5E19DD56" w14:textId="4088139C" w:rsidR="00F011AC" w:rsidRDefault="00F011AC" w:rsidP="00F011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2958">
          <w:rPr>
            <w:rStyle w:val="PageNumber"/>
            <w:noProof/>
          </w:rPr>
          <w:t>287</w:t>
        </w:r>
        <w:r>
          <w:rPr>
            <w:rStyle w:val="PageNumber"/>
          </w:rPr>
          <w:fldChar w:fldCharType="end"/>
        </w:r>
      </w:p>
    </w:sdtContent>
  </w:sdt>
  <w:p w14:paraId="3F9631C4" w14:textId="39B2B798" w:rsidR="009A4BBB" w:rsidRDefault="006204C0" w:rsidP="00F011AC">
    <w:pPr>
      <w:pBdr>
        <w:top w:val="nil"/>
        <w:left w:val="nil"/>
        <w:bottom w:val="nil"/>
        <w:right w:val="nil"/>
        <w:between w:val="nil"/>
      </w:pBdr>
      <w:tabs>
        <w:tab w:val="center" w:pos="4680"/>
        <w:tab w:val="right" w:pos="9360"/>
      </w:tabs>
      <w:spacing w:after="0" w:line="240" w:lineRule="auto"/>
      <w:ind w:right="360"/>
      <w:jc w:val="right"/>
      <w:rPr>
        <w:color w:val="000000"/>
      </w:rPr>
    </w:pPr>
    <w:r w:rsidRPr="006204C0">
      <w:rPr>
        <w:rFonts w:ascii="Times New Roman" w:hAnsi="Times New Roman" w:cs="Times New Roman"/>
        <w:color w:val="000000"/>
      </w:rPr>
      <w:t xml:space="preserve"> </w:t>
    </w:r>
    <w:r w:rsidRPr="00F011AC">
      <w:rPr>
        <w:rFonts w:ascii="Times New Roman" w:hAnsi="Times New Roman" w:cs="Times New Roman"/>
        <w:b/>
        <w:bCs/>
        <w:color w:val="000000"/>
      </w:rPr>
      <w:t>Efektivitas Pendekatan IAM</w:t>
    </w:r>
    <w:r w:rsidRPr="00F011AC">
      <w:rPr>
        <w:rFonts w:ascii="Times New Roman" w:hAnsi="Times New Roman" w:cs="Times New Roman"/>
        <w:b/>
        <w:bCs/>
        <w:lang w:val="en-US"/>
      </w:rPr>
      <w:t xml:space="preserve"> …</w:t>
    </w:r>
    <w:r w:rsidRPr="00E00AB6">
      <w:rPr>
        <w:rFonts w:ascii="Times New Roman" w:hAnsi="Times New Roman" w:cs="Times New Roman"/>
        <w:lang w:val="en-US"/>
      </w:rPr>
      <w:t xml:space="preserve"> </w:t>
    </w:r>
    <w:r w:rsidR="00AE6A7A">
      <w:rPr>
        <w:rFonts w:ascii="Times New Roman" w:hAnsi="Times New Roman" w:cs="Times New Roman"/>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71779" w14:textId="2CE60E6D" w:rsidR="00A70B92" w:rsidRDefault="00E00AB6">
    <w:pPr>
      <w:pStyle w:val="Footer"/>
      <w:jc w:val="right"/>
    </w:pPr>
    <w:r w:rsidRPr="00E00AB6">
      <w:rPr>
        <w:rFonts w:ascii="Times New Roman" w:hAnsi="Times New Roman" w:cs="Times New Roman"/>
        <w:color w:val="000000"/>
      </w:rPr>
      <w:t xml:space="preserve"> </w:t>
    </w:r>
    <w:r w:rsidRPr="00F011AC">
      <w:rPr>
        <w:rFonts w:ascii="Times New Roman" w:hAnsi="Times New Roman" w:cs="Times New Roman"/>
        <w:b/>
        <w:bCs/>
        <w:color w:val="000000"/>
      </w:rPr>
      <w:t>Efektivitas Pendekatan IAM</w:t>
    </w:r>
    <w:r w:rsidRPr="00F011AC">
      <w:rPr>
        <w:rFonts w:ascii="Times New Roman" w:hAnsi="Times New Roman" w:cs="Times New Roman"/>
        <w:b/>
        <w:bCs/>
        <w:lang w:val="en-US"/>
      </w:rPr>
      <w:t xml:space="preserve"> …</w:t>
    </w:r>
    <w:r w:rsidRPr="00E00AB6">
      <w:rPr>
        <w:rFonts w:ascii="Times New Roman" w:hAnsi="Times New Roman" w:cs="Times New Roman"/>
        <w:lang w:val="en-US"/>
      </w:rPr>
      <w:t xml:space="preserve"> </w:t>
    </w:r>
    <w:r w:rsidR="00AE6A7A">
      <w:rPr>
        <w:rFonts w:ascii="Times New Roman" w:hAnsi="Times New Roman" w:cs="Times New Roman"/>
        <w:lang w:val="en-US"/>
      </w:rPr>
      <w:t>│</w:t>
    </w:r>
    <w:r w:rsidR="00A70B92">
      <w:fldChar w:fldCharType="begin"/>
    </w:r>
    <w:r w:rsidR="00A70B92">
      <w:instrText xml:space="preserve"> PAGE   \* MERGEFORMAT </w:instrText>
    </w:r>
    <w:r w:rsidR="00A70B92">
      <w:fldChar w:fldCharType="separate"/>
    </w:r>
    <w:r w:rsidR="004F2958">
      <w:rPr>
        <w:noProof/>
      </w:rPr>
      <w:t>283</w:t>
    </w:r>
    <w:r w:rsidR="00A70B92">
      <w:rPr>
        <w:noProof/>
      </w:rPr>
      <w:fldChar w:fldCharType="end"/>
    </w:r>
  </w:p>
  <w:p w14:paraId="4E7C4B55" w14:textId="77777777" w:rsidR="00805E51" w:rsidRDefault="00805E51" w:rsidP="00EB40E5">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316091731"/>
      <w:docPartObj>
        <w:docPartGallery w:val="Page Numbers (Bottom of Page)"/>
        <w:docPartUnique/>
      </w:docPartObj>
    </w:sdtPr>
    <w:sdtEndPr>
      <w:rPr>
        <w:rStyle w:val="PageNumber"/>
      </w:rPr>
    </w:sdtEndPr>
    <w:sdtContent>
      <w:p w14:paraId="50488639" w14:textId="68918CFA" w:rsidR="00F011AC" w:rsidRDefault="00F011AC" w:rsidP="00CF6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2958">
          <w:rPr>
            <w:rStyle w:val="PageNumber"/>
            <w:noProof/>
          </w:rPr>
          <w:t>286</w:t>
        </w:r>
        <w:r>
          <w:rPr>
            <w:rStyle w:val="PageNumber"/>
          </w:rPr>
          <w:fldChar w:fldCharType="end"/>
        </w:r>
      </w:p>
    </w:sdtContent>
  </w:sdt>
  <w:p w14:paraId="17A805C7" w14:textId="7CE883D1" w:rsidR="000E6A28" w:rsidRDefault="006204C0" w:rsidP="00F011AC">
    <w:pPr>
      <w:pStyle w:val="Footer"/>
      <w:ind w:right="360"/>
      <w:jc w:val="right"/>
    </w:pPr>
    <w:r w:rsidRPr="006204C0">
      <w:rPr>
        <w:rFonts w:ascii="Times New Roman" w:hAnsi="Times New Roman" w:cs="Times New Roman"/>
        <w:color w:val="000000"/>
      </w:rPr>
      <w:t xml:space="preserve"> </w:t>
    </w:r>
    <w:r w:rsidRPr="00F011AC">
      <w:rPr>
        <w:rFonts w:ascii="Times New Roman" w:hAnsi="Times New Roman" w:cs="Times New Roman"/>
        <w:b/>
        <w:bCs/>
        <w:color w:val="000000"/>
      </w:rPr>
      <w:t>Efektivitas Pendekatan IAM</w:t>
    </w:r>
    <w:r w:rsidRPr="00F011AC">
      <w:rPr>
        <w:rFonts w:ascii="Times New Roman" w:hAnsi="Times New Roman" w:cs="Times New Roman"/>
        <w:b/>
        <w:bCs/>
        <w:lang w:val="en-US"/>
      </w:rPr>
      <w:t xml:space="preserve"> … </w:t>
    </w:r>
    <w:r w:rsidR="000E6A28">
      <w:rPr>
        <w:rFonts w:ascii="Times New Roman" w:hAnsi="Times New Roman" w:cs="Times New Roman"/>
        <w:lang w:val="en-US"/>
      </w:rPr>
      <w:t>│</w:t>
    </w:r>
  </w:p>
  <w:p w14:paraId="23F25E90" w14:textId="77777777" w:rsidR="00AE6A7A" w:rsidRDefault="00AE6A7A" w:rsidP="00AE6A7A">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20432801"/>
      <w:docPartObj>
        <w:docPartGallery w:val="Page Numbers (Bottom of Page)"/>
        <w:docPartUnique/>
      </w:docPartObj>
    </w:sdtPr>
    <w:sdtEndPr>
      <w:rPr>
        <w:rStyle w:val="PageNumber"/>
      </w:rPr>
    </w:sdtEndPr>
    <w:sdtContent>
      <w:p w14:paraId="41DC3170" w14:textId="3FBD6B02" w:rsidR="00F011AC" w:rsidRDefault="00F011AC" w:rsidP="00CF63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F2958">
          <w:rPr>
            <w:rStyle w:val="PageNumber"/>
            <w:noProof/>
          </w:rPr>
          <w:t>290</w:t>
        </w:r>
        <w:r>
          <w:rPr>
            <w:rStyle w:val="PageNumber"/>
          </w:rPr>
          <w:fldChar w:fldCharType="end"/>
        </w:r>
      </w:p>
    </w:sdtContent>
  </w:sdt>
  <w:p w14:paraId="5BC0232D" w14:textId="5EEC6312" w:rsidR="000E6A28" w:rsidRDefault="00F011AC" w:rsidP="00F011AC">
    <w:pPr>
      <w:pStyle w:val="Footer"/>
      <w:ind w:right="360"/>
      <w:jc w:val="right"/>
    </w:pPr>
    <w:r w:rsidRPr="00F011AC">
      <w:rPr>
        <w:rFonts w:ascii="Times New Roman" w:hAnsi="Times New Roman" w:cs="Times New Roman"/>
        <w:b/>
        <w:bCs/>
        <w:color w:val="000000"/>
      </w:rPr>
      <w:t>Efektivitas Pendekatan IAM</w:t>
    </w:r>
    <w:r w:rsidRPr="00F011AC">
      <w:rPr>
        <w:rFonts w:ascii="Times New Roman" w:hAnsi="Times New Roman" w:cs="Times New Roman"/>
        <w:b/>
        <w:bCs/>
        <w:lang w:val="en-US"/>
      </w:rPr>
      <w:t xml:space="preserve"> …</w:t>
    </w:r>
    <w:r w:rsidR="000E6A28">
      <w:rPr>
        <w:rFonts w:ascii="Times New Roman" w:hAnsi="Times New Roman" w:cs="Times New Roman"/>
        <w:lang w:val="en-US"/>
      </w:rPr>
      <w:t xml:space="preserve"> │</w:t>
    </w:r>
  </w:p>
  <w:p w14:paraId="75126A88" w14:textId="77777777" w:rsidR="000E6A28" w:rsidRDefault="000E6A28" w:rsidP="00AE6A7A">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AED15" w14:textId="77777777" w:rsidR="002F2E85" w:rsidRDefault="002F2E85">
      <w:pPr>
        <w:spacing w:after="0" w:line="240" w:lineRule="auto"/>
      </w:pPr>
      <w:r>
        <w:separator/>
      </w:r>
    </w:p>
  </w:footnote>
  <w:footnote w:type="continuationSeparator" w:id="0">
    <w:p w14:paraId="751DCDDB" w14:textId="77777777" w:rsidR="002F2E85" w:rsidRDefault="002F2E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D44DB" w14:textId="78528C7C" w:rsidR="0040358D" w:rsidRPr="00B36845" w:rsidRDefault="004F2958" w:rsidP="0075743F">
    <w:pPr>
      <w:pBdr>
        <w:top w:val="nil"/>
        <w:left w:val="nil"/>
        <w:bottom w:val="nil"/>
        <w:right w:val="nil"/>
        <w:between w:val="nil"/>
      </w:pBdr>
      <w:tabs>
        <w:tab w:val="center" w:pos="4680"/>
        <w:tab w:val="right" w:pos="9072"/>
      </w:tabs>
      <w:spacing w:after="0" w:line="240" w:lineRule="auto"/>
      <w:ind w:right="-104"/>
      <w:rPr>
        <w:rFonts w:ascii="Times New Roman" w:eastAsia="Times New Roman" w:hAnsi="Times New Roman" w:cs="Times New Roman"/>
        <w:i/>
        <w:sz w:val="18"/>
        <w:szCs w:val="18"/>
        <w:lang w:val="en-US"/>
      </w:rPr>
    </w:pPr>
    <w:hyperlink r:id="rId1" w:history="1">
      <w:r w:rsidRPr="004F2958">
        <w:rPr>
          <w:rStyle w:val="Hyperlink"/>
          <w:rFonts w:ascii="Times New Roman" w:hAnsi="Times New Roman" w:cs="Times New Roman"/>
          <w:i/>
          <w:color w:val="006798"/>
          <w:sz w:val="18"/>
          <w:szCs w:val="18"/>
          <w:shd w:val="clear" w:color="auto" w:fill="FFFFFF"/>
        </w:rPr>
        <w:t>https://doi.org/10.24114/esjpgsd.v15i3.65516</w:t>
      </w:r>
    </w:hyperlink>
    <w:r>
      <w:rPr>
        <w:lang w:val="en-US"/>
      </w:rPr>
      <w:t xml:space="preserve"> </w:t>
    </w:r>
    <w:r w:rsidR="0040358D">
      <w:rPr>
        <w:rFonts w:ascii="Times New Roman" w:hAnsi="Times New Roman" w:cs="Times New Roman"/>
        <w:i/>
        <w:sz w:val="18"/>
        <w:szCs w:val="18"/>
        <w:shd w:val="clear" w:color="auto" w:fill="FFFFFF"/>
      </w:rPr>
      <w:tab/>
    </w:r>
    <w:r w:rsidR="0075743F">
      <w:rPr>
        <w:rFonts w:ascii="Times New Roman" w:hAnsi="Times New Roman" w:cs="Times New Roman"/>
        <w:i/>
        <w:sz w:val="18"/>
        <w:szCs w:val="18"/>
        <w:shd w:val="clear" w:color="auto" w:fill="FFFFFF"/>
      </w:rPr>
      <w:tab/>
    </w:r>
    <w:r w:rsidR="00E00AB6">
      <w:rPr>
        <w:rFonts w:ascii="Times New Roman" w:hAnsi="Times New Roman" w:cs="Times New Roman"/>
        <w:i/>
        <w:sz w:val="18"/>
        <w:szCs w:val="18"/>
        <w:shd w:val="clear" w:color="auto" w:fill="FFFFFF"/>
        <w:lang w:val="en-US"/>
      </w:rPr>
      <w:t>Faisal, dkk. (2024)</w:t>
    </w:r>
  </w:p>
  <w:p w14:paraId="2C973DAE" w14:textId="410E9FA7" w:rsidR="0040358D" w:rsidRDefault="004035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09F29" w14:textId="404466E2" w:rsidR="009A4BBB" w:rsidRDefault="000B4FB9" w:rsidP="000B4FB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i/>
        <w:sz w:val="20"/>
        <w:szCs w:val="20"/>
        <w:lang w:val="en-US"/>
      </w:rPr>
    </w:pPr>
    <w:r w:rsidRPr="000B4FB9">
      <w:rPr>
        <w:rFonts w:ascii="Times New Roman" w:hAnsi="Times New Roman" w:cs="Times New Roman"/>
        <w:color w:val="000000"/>
        <w:sz w:val="20"/>
        <w:szCs w:val="20"/>
        <w:lang w:val="en-US"/>
      </w:rPr>
      <w:t>Elementary School Journal - Volume</w:t>
    </w:r>
    <w:r w:rsidRPr="000B4FB9">
      <w:rPr>
        <w:rFonts w:ascii="Times New Roman" w:eastAsia="Times New Roman" w:hAnsi="Times New Roman" w:cs="Times New Roman"/>
        <w:i/>
        <w:sz w:val="20"/>
        <w:szCs w:val="20"/>
        <w:lang w:val="en-US"/>
      </w:rPr>
      <w:t xml:space="preserve"> </w:t>
    </w:r>
    <w:r w:rsidR="00F95EA3">
      <w:rPr>
        <w:rFonts w:ascii="Times New Roman" w:eastAsia="Times New Roman" w:hAnsi="Times New Roman" w:cs="Times New Roman"/>
        <w:i/>
        <w:sz w:val="20"/>
        <w:szCs w:val="20"/>
        <w:lang w:val="en-US"/>
      </w:rPr>
      <w:t>14</w:t>
    </w:r>
    <w:r w:rsidRPr="000B4FB9">
      <w:rPr>
        <w:rFonts w:ascii="Times New Roman" w:eastAsia="Times New Roman" w:hAnsi="Times New Roman" w:cs="Times New Roman"/>
        <w:i/>
        <w:sz w:val="20"/>
        <w:szCs w:val="20"/>
        <w:lang w:val="en-US"/>
      </w:rPr>
      <w:t xml:space="preserve"> No. </w:t>
    </w:r>
    <w:r w:rsidR="00F95EA3">
      <w:rPr>
        <w:rFonts w:ascii="Times New Roman" w:eastAsia="Times New Roman" w:hAnsi="Times New Roman" w:cs="Times New Roman"/>
        <w:i/>
        <w:sz w:val="20"/>
        <w:szCs w:val="20"/>
        <w:lang w:val="en-US"/>
      </w:rPr>
      <w:t>3</w:t>
    </w:r>
    <w:r w:rsidRPr="000B4FB9">
      <w:rPr>
        <w:rFonts w:ascii="Times New Roman" w:eastAsia="Times New Roman" w:hAnsi="Times New Roman" w:cs="Times New Roman"/>
        <w:i/>
        <w:sz w:val="20"/>
        <w:szCs w:val="20"/>
        <w:lang w:val="en-US"/>
      </w:rPr>
      <w:t xml:space="preserve">  (20</w:t>
    </w:r>
    <w:r w:rsidR="00F95EA3">
      <w:rPr>
        <w:rFonts w:ascii="Times New Roman" w:eastAsia="Times New Roman" w:hAnsi="Times New Roman" w:cs="Times New Roman"/>
        <w:i/>
        <w:sz w:val="20"/>
        <w:szCs w:val="20"/>
        <w:lang w:val="en-US"/>
      </w:rPr>
      <w:t>24</w:t>
    </w:r>
    <w:r w:rsidRPr="000B4FB9">
      <w:rPr>
        <w:rFonts w:ascii="Times New Roman" w:eastAsia="Times New Roman" w:hAnsi="Times New Roman" w:cs="Times New Roman"/>
        <w:i/>
        <w:sz w:val="20"/>
        <w:szCs w:val="20"/>
        <w:lang w:val="en-US"/>
      </w:rPr>
      <w:t>)</w:t>
    </w:r>
    <w:r>
      <w:rPr>
        <w:rFonts w:ascii="Times New Roman" w:eastAsia="Times New Roman" w:hAnsi="Times New Roman" w:cs="Times New Roman"/>
        <w:i/>
        <w:sz w:val="20"/>
        <w:szCs w:val="20"/>
        <w:lang w:val="en-US"/>
      </w:rPr>
      <w:t xml:space="preserve"> – (hal </w:t>
    </w:r>
    <w:r w:rsidR="00F95EA3">
      <w:rPr>
        <w:rFonts w:ascii="Times New Roman" w:eastAsia="Times New Roman" w:hAnsi="Times New Roman" w:cs="Times New Roman"/>
        <w:i/>
        <w:sz w:val="20"/>
        <w:szCs w:val="20"/>
        <w:lang w:val="en-US"/>
      </w:rPr>
      <w:t>283</w:t>
    </w:r>
    <w:r>
      <w:rPr>
        <w:rFonts w:ascii="Times New Roman" w:eastAsia="Times New Roman" w:hAnsi="Times New Roman" w:cs="Times New Roman"/>
        <w:i/>
        <w:sz w:val="20"/>
        <w:szCs w:val="20"/>
        <w:lang w:val="en-US"/>
      </w:rPr>
      <w:t xml:space="preserve"> – </w:t>
    </w:r>
    <w:r w:rsidR="00F95EA3">
      <w:rPr>
        <w:rFonts w:ascii="Times New Roman" w:eastAsia="Times New Roman" w:hAnsi="Times New Roman" w:cs="Times New Roman"/>
        <w:i/>
        <w:sz w:val="20"/>
        <w:szCs w:val="20"/>
        <w:lang w:val="en-US"/>
      </w:rPr>
      <w:t>290</w:t>
    </w:r>
    <w:r>
      <w:rPr>
        <w:rFonts w:ascii="Times New Roman" w:eastAsia="Times New Roman" w:hAnsi="Times New Roman" w:cs="Times New Roman"/>
        <w:i/>
        <w:sz w:val="20"/>
        <w:szCs w:val="20"/>
        <w:lang w:val="en-US"/>
      </w:rPr>
      <w:t>)</w:t>
    </w:r>
  </w:p>
  <w:p w14:paraId="1496CD5A" w14:textId="64D0206D" w:rsidR="000B4FB9" w:rsidRDefault="002F2E85" w:rsidP="000B4FB9">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18"/>
        <w:szCs w:val="18"/>
        <w:lang w:val="en-US"/>
      </w:rPr>
    </w:pPr>
    <w:hyperlink r:id="rId1" w:history="1">
      <w:r w:rsidR="00F95EA3" w:rsidRPr="00C97253">
        <w:rPr>
          <w:rStyle w:val="Hyperlink"/>
          <w:rFonts w:ascii="Times New Roman" w:eastAsia="Times New Roman" w:hAnsi="Times New Roman" w:cs="Times New Roman"/>
          <w:i/>
          <w:sz w:val="18"/>
          <w:szCs w:val="18"/>
        </w:rPr>
        <w:t>https://jurnal.unimed.ac.id/2012/index.php/elementary/article/view/</w:t>
      </w:r>
    </w:hyperlink>
    <w:r w:rsidR="004F2958">
      <w:rPr>
        <w:rStyle w:val="Hyperlink"/>
        <w:rFonts w:ascii="Times New Roman" w:eastAsia="Times New Roman" w:hAnsi="Times New Roman" w:cs="Times New Roman"/>
        <w:i/>
        <w:sz w:val="16"/>
        <w:szCs w:val="16"/>
        <w:lang w:val="en-US"/>
      </w:rPr>
      <w:t>65516</w:t>
    </w:r>
  </w:p>
  <w:p w14:paraId="7850A712" w14:textId="289DD98D" w:rsidR="00344F1E" w:rsidRDefault="00344F1E" w:rsidP="000B4FB9">
    <w:pPr>
      <w:pBdr>
        <w:top w:val="nil"/>
        <w:left w:val="nil"/>
        <w:bottom w:val="nil"/>
        <w:right w:val="nil"/>
        <w:between w:val="nil"/>
      </w:pBdr>
      <w:tabs>
        <w:tab w:val="center" w:pos="4680"/>
        <w:tab w:val="right" w:pos="9360"/>
      </w:tabs>
      <w:spacing w:after="0" w:line="240" w:lineRule="auto"/>
      <w:ind w:right="-104"/>
      <w:jc w:val="center"/>
      <w:rPr>
        <w:rFonts w:ascii="Times New Roman" w:eastAsia="Times New Roman" w:hAnsi="Times New Roman" w:cs="Times New Roman"/>
        <w:i/>
        <w:sz w:val="20"/>
        <w:szCs w:val="20"/>
        <w:lang w:val="en-US"/>
      </w:rPr>
    </w:pPr>
  </w:p>
  <w:p w14:paraId="49265247" w14:textId="77777777" w:rsidR="000B4FB9" w:rsidRPr="000B4FB9" w:rsidRDefault="000B4FB9" w:rsidP="000B4FB9">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color w:val="000000"/>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nil"/>
        <w:left w:val="nil"/>
        <w:bottom w:val="nil"/>
        <w:right w:val="nil"/>
        <w:insideH w:val="nil"/>
        <w:insideV w:val="nil"/>
      </w:tblBorders>
      <w:tblLayout w:type="fixed"/>
      <w:tblLook w:val="0400" w:firstRow="0" w:lastRow="0" w:firstColumn="0" w:lastColumn="0" w:noHBand="0" w:noVBand="1"/>
    </w:tblPr>
    <w:tblGrid>
      <w:gridCol w:w="1242"/>
      <w:gridCol w:w="2977"/>
      <w:gridCol w:w="4961"/>
    </w:tblGrid>
    <w:tr w:rsidR="00D135E3" w:rsidRPr="008D1740" w14:paraId="0BF5BF11" w14:textId="77777777" w:rsidTr="008D1740">
      <w:trPr>
        <w:trHeight w:val="960"/>
      </w:trPr>
      <w:tc>
        <w:tcPr>
          <w:tcW w:w="1242" w:type="dxa"/>
        </w:tcPr>
        <w:p w14:paraId="19D83DFC" w14:textId="77777777" w:rsidR="00C23F10" w:rsidRPr="00C3780F" w:rsidRDefault="00C23F10"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rPr>
          </w:pPr>
        </w:p>
      </w:tc>
      <w:tc>
        <w:tcPr>
          <w:tcW w:w="2977" w:type="dxa"/>
        </w:tcPr>
        <w:p w14:paraId="17CEA738" w14:textId="77777777" w:rsidR="000F4A18" w:rsidRPr="006610AE" w:rsidRDefault="000F4A1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20"/>
              <w:szCs w:val="20"/>
              <w:lang w:val="en-US"/>
            </w:rPr>
          </w:pPr>
        </w:p>
        <w:p w14:paraId="6DF1CB6F" w14:textId="77777777" w:rsidR="00805E51" w:rsidRPr="006610AE" w:rsidRDefault="00C871E8"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18"/>
              <w:szCs w:val="18"/>
              <w:lang w:val="en-US"/>
            </w:rPr>
          </w:pPr>
          <w:r w:rsidRPr="006610AE">
            <w:rPr>
              <w:rFonts w:ascii="Times New Roman" w:eastAsia="Times New Roman" w:hAnsi="Times New Roman" w:cs="Times New Roman"/>
              <w:b/>
              <w:color w:val="000000"/>
              <w:sz w:val="18"/>
              <w:szCs w:val="18"/>
              <w:lang w:val="en-US"/>
            </w:rPr>
            <w:t>E</w:t>
          </w:r>
          <w:r w:rsidR="001A3F93" w:rsidRPr="006610AE">
            <w:rPr>
              <w:rFonts w:ascii="Times New Roman" w:eastAsia="Times New Roman" w:hAnsi="Times New Roman" w:cs="Times New Roman"/>
              <w:b/>
              <w:color w:val="000000"/>
              <w:sz w:val="18"/>
              <w:szCs w:val="18"/>
              <w:lang w:val="en-US"/>
            </w:rPr>
            <w:t>lementary</w:t>
          </w:r>
          <w:r w:rsidR="00AD5D90" w:rsidRPr="006610AE">
            <w:rPr>
              <w:rFonts w:ascii="Times New Roman" w:eastAsia="Times New Roman" w:hAnsi="Times New Roman" w:cs="Times New Roman"/>
              <w:b/>
              <w:color w:val="000000"/>
              <w:sz w:val="18"/>
              <w:szCs w:val="18"/>
              <w:lang w:val="en-US"/>
            </w:rPr>
            <w:t xml:space="preserve"> School Journal</w:t>
          </w:r>
        </w:p>
        <w:p w14:paraId="70165516" w14:textId="77777777" w:rsidR="00C23F10" w:rsidRPr="006610AE" w:rsidRDefault="00C23F10" w:rsidP="00C3780F">
          <w:pPr>
            <w:pBdr>
              <w:top w:val="nil"/>
              <w:left w:val="nil"/>
              <w:bottom w:val="nil"/>
              <w:right w:val="nil"/>
              <w:between w:val="nil"/>
            </w:pBdr>
            <w:tabs>
              <w:tab w:val="center" w:pos="4680"/>
              <w:tab w:val="right" w:pos="9360"/>
            </w:tabs>
            <w:spacing w:after="0" w:line="240" w:lineRule="auto"/>
            <w:rPr>
              <w:rFonts w:ascii="Times New Roman" w:hAnsi="Times New Roman" w:cs="Times New Roman"/>
              <w:b/>
              <w:i/>
              <w:color w:val="000000"/>
              <w:sz w:val="18"/>
              <w:szCs w:val="18"/>
            </w:rPr>
          </w:pPr>
          <w:r w:rsidRPr="006610AE">
            <w:rPr>
              <w:rFonts w:ascii="Times New Roman" w:eastAsia="Times New Roman" w:hAnsi="Times New Roman" w:cs="Times New Roman"/>
              <w:b/>
              <w:color w:val="000000"/>
              <w:sz w:val="18"/>
              <w:szCs w:val="18"/>
            </w:rPr>
            <w:t xml:space="preserve">Jurnal Kajian </w:t>
          </w:r>
          <w:r w:rsidR="00AD5D90" w:rsidRPr="006610AE">
            <w:rPr>
              <w:rFonts w:ascii="Times New Roman" w:eastAsia="Times New Roman" w:hAnsi="Times New Roman" w:cs="Times New Roman"/>
              <w:b/>
              <w:color w:val="000000"/>
              <w:sz w:val="18"/>
              <w:szCs w:val="18"/>
              <w:lang w:val="en-US"/>
            </w:rPr>
            <w:t>Pendidikan</w:t>
          </w:r>
          <w:r w:rsidR="00716AB5" w:rsidRPr="006610AE">
            <w:rPr>
              <w:rFonts w:ascii="Times New Roman" w:eastAsia="Times New Roman" w:hAnsi="Times New Roman" w:cs="Times New Roman"/>
              <w:b/>
              <w:color w:val="000000"/>
              <w:sz w:val="18"/>
              <w:szCs w:val="18"/>
              <w:lang w:val="en-US"/>
            </w:rPr>
            <w:t xml:space="preserve"> </w:t>
          </w:r>
          <w:r w:rsidR="00AD5D90" w:rsidRPr="006610AE">
            <w:rPr>
              <w:rFonts w:ascii="Times New Roman" w:eastAsia="Times New Roman" w:hAnsi="Times New Roman" w:cs="Times New Roman"/>
              <w:b/>
              <w:color w:val="000000"/>
              <w:sz w:val="18"/>
              <w:szCs w:val="18"/>
              <w:lang w:val="en-US"/>
            </w:rPr>
            <w:t>Dasar</w:t>
          </w:r>
        </w:p>
        <w:p w14:paraId="23CB1F43" w14:textId="77777777" w:rsidR="00BE0FC5" w:rsidRPr="006610AE" w:rsidRDefault="00BE0FC5" w:rsidP="00C3780F">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Cs/>
              <w:color w:val="000000"/>
              <w:sz w:val="20"/>
              <w:szCs w:val="20"/>
              <w:lang w:val="en-US"/>
            </w:rPr>
          </w:pPr>
          <w:r w:rsidRPr="006610AE">
            <w:rPr>
              <w:rFonts w:ascii="Times New Roman" w:eastAsia="Times New Roman" w:hAnsi="Times New Roman" w:cs="Times New Roman"/>
              <w:i/>
              <w:color w:val="0563C1"/>
              <w:sz w:val="20"/>
              <w:szCs w:val="20"/>
              <w:u w:val="single"/>
              <w:lang w:val="en-US"/>
            </w:rPr>
            <w:t xml:space="preserve"> </w:t>
          </w:r>
        </w:p>
      </w:tc>
      <w:tc>
        <w:tcPr>
          <w:tcW w:w="4961" w:type="dxa"/>
        </w:tcPr>
        <w:p w14:paraId="427B00F7" w14:textId="333F294E" w:rsidR="00D135E3" w:rsidRPr="00633677" w:rsidRDefault="002F2E85"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hyperlink r:id="rId1" w:history="1">
            <w:r w:rsidR="00B36845" w:rsidRPr="008D1740">
              <w:rPr>
                <w:rStyle w:val="Hyperlink"/>
                <w:rFonts w:ascii="Times New Roman" w:eastAsia="Times New Roman" w:hAnsi="Times New Roman" w:cs="Times New Roman"/>
                <w:i/>
                <w:sz w:val="16"/>
                <w:szCs w:val="16"/>
              </w:rPr>
              <w:t>https://jurnal.unimed.ac.id/2012/index.php/elementary/article/view/</w:t>
            </w:r>
          </w:hyperlink>
          <w:r w:rsidR="004F2958">
            <w:rPr>
              <w:rStyle w:val="Hyperlink"/>
              <w:rFonts w:ascii="Times New Roman" w:eastAsia="Times New Roman" w:hAnsi="Times New Roman" w:cs="Times New Roman"/>
              <w:i/>
              <w:sz w:val="16"/>
              <w:szCs w:val="16"/>
              <w:lang w:val="en-US"/>
            </w:rPr>
            <w:t>65516</w:t>
          </w:r>
        </w:p>
        <w:p w14:paraId="03E0E358" w14:textId="185E8630" w:rsidR="005C1304" w:rsidRPr="00633677" w:rsidRDefault="005C1304"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color w:val="4472C4" w:themeColor="accent1"/>
              <w:sz w:val="16"/>
              <w:szCs w:val="16"/>
              <w:u w:val="single"/>
              <w:lang w:val="en-US"/>
            </w:rPr>
          </w:pPr>
          <w:r w:rsidRPr="00633677">
            <w:rPr>
              <w:rFonts w:ascii="Times New Roman" w:hAnsi="Times New Roman" w:cs="Times New Roman"/>
              <w:i/>
              <w:color w:val="4472C4" w:themeColor="accent1"/>
              <w:sz w:val="16"/>
              <w:szCs w:val="16"/>
              <w:u w:val="single"/>
              <w:shd w:val="clear" w:color="auto" w:fill="FFFFFF"/>
              <w:lang w:val="en-US"/>
            </w:rPr>
            <w:t>https://</w:t>
          </w:r>
          <w:hyperlink r:id="rId2" w:history="1">
            <w:r w:rsidRPr="00633677">
              <w:rPr>
                <w:rStyle w:val="Hyperlink"/>
                <w:rFonts w:ascii="Times New Roman" w:hAnsi="Times New Roman" w:cs="Times New Roman"/>
                <w:i/>
                <w:color w:val="4472C4" w:themeColor="accent1"/>
                <w:sz w:val="16"/>
                <w:szCs w:val="16"/>
                <w:shd w:val="clear" w:color="auto" w:fill="FFFFFF"/>
              </w:rPr>
              <w:t>doi.org/10.24114/esjpgsd.v1</w:t>
            </w:r>
            <w:r w:rsidR="00633677" w:rsidRPr="00633677">
              <w:rPr>
                <w:rStyle w:val="Hyperlink"/>
                <w:rFonts w:ascii="Times New Roman" w:hAnsi="Times New Roman" w:cs="Times New Roman"/>
                <w:i/>
                <w:color w:val="4472C4" w:themeColor="accent1"/>
                <w:sz w:val="16"/>
                <w:szCs w:val="16"/>
                <w:shd w:val="clear" w:color="auto" w:fill="FFFFFF"/>
                <w:lang w:val="en-US"/>
              </w:rPr>
              <w:t>4</w:t>
            </w:r>
            <w:r w:rsidRPr="00633677">
              <w:rPr>
                <w:rStyle w:val="Hyperlink"/>
                <w:rFonts w:ascii="Times New Roman" w:hAnsi="Times New Roman" w:cs="Times New Roman"/>
                <w:i/>
                <w:color w:val="4472C4" w:themeColor="accent1"/>
                <w:sz w:val="16"/>
                <w:szCs w:val="16"/>
                <w:shd w:val="clear" w:color="auto" w:fill="FFFFFF"/>
              </w:rPr>
              <w:t>i</w:t>
            </w:r>
            <w:r w:rsidR="00633677" w:rsidRPr="00633677">
              <w:rPr>
                <w:rStyle w:val="Hyperlink"/>
                <w:rFonts w:ascii="Times New Roman" w:hAnsi="Times New Roman" w:cs="Times New Roman"/>
                <w:i/>
                <w:color w:val="4472C4" w:themeColor="accent1"/>
                <w:sz w:val="16"/>
                <w:szCs w:val="16"/>
                <w:shd w:val="clear" w:color="auto" w:fill="FFFFFF"/>
                <w:lang w:val="en-US"/>
              </w:rPr>
              <w:t>3</w:t>
            </w:r>
            <w:r w:rsidRPr="00633677">
              <w:rPr>
                <w:rStyle w:val="Hyperlink"/>
                <w:rFonts w:ascii="Times New Roman" w:hAnsi="Times New Roman" w:cs="Times New Roman"/>
                <w:i/>
                <w:color w:val="4472C4" w:themeColor="accent1"/>
                <w:sz w:val="16"/>
                <w:szCs w:val="16"/>
                <w:shd w:val="clear" w:color="auto" w:fill="FFFFFF"/>
              </w:rPr>
              <w:t>.</w:t>
            </w:r>
          </w:hyperlink>
          <w:r w:rsidR="004F2958">
            <w:rPr>
              <w:rStyle w:val="Title"/>
              <w:rFonts w:ascii="Times New Roman" w:eastAsia="Times New Roman" w:hAnsi="Times New Roman" w:cs="Times New Roman"/>
              <w:i/>
              <w:sz w:val="16"/>
              <w:szCs w:val="16"/>
              <w:lang w:val="en-US"/>
            </w:rPr>
            <w:t xml:space="preserve"> </w:t>
          </w:r>
          <w:r w:rsidR="004F2958">
            <w:rPr>
              <w:rStyle w:val="Hyperlink"/>
              <w:rFonts w:ascii="Times New Roman" w:eastAsia="Times New Roman" w:hAnsi="Times New Roman" w:cs="Times New Roman"/>
              <w:i/>
              <w:sz w:val="16"/>
              <w:szCs w:val="16"/>
              <w:lang w:val="en-US"/>
            </w:rPr>
            <w:t>65516</w:t>
          </w:r>
        </w:p>
        <w:p w14:paraId="657E51C0" w14:textId="77777777" w:rsidR="00D135E3" w:rsidRPr="008D1740" w:rsidRDefault="00D135E3" w:rsidP="00BC20B5">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e-issn (2355-1747) &amp; p-issn (2407-4937)</w:t>
          </w:r>
        </w:p>
        <w:p w14:paraId="3A132817" w14:textId="298BD8A1" w:rsidR="00BC20B5" w:rsidRPr="008D1740" w:rsidRDefault="00BC20B5" w:rsidP="005C1304">
          <w:pPr>
            <w:pBdr>
              <w:top w:val="nil"/>
              <w:left w:val="nil"/>
              <w:bottom w:val="nil"/>
              <w:right w:val="nil"/>
              <w:between w:val="nil"/>
            </w:pBdr>
            <w:tabs>
              <w:tab w:val="center" w:pos="4680"/>
              <w:tab w:val="right" w:pos="9360"/>
            </w:tabs>
            <w:spacing w:after="0" w:line="240" w:lineRule="auto"/>
            <w:ind w:right="-104"/>
            <w:jc w:val="right"/>
            <w:rPr>
              <w:rFonts w:ascii="Times New Roman" w:eastAsia="Times New Roman" w:hAnsi="Times New Roman" w:cs="Times New Roman"/>
              <w:i/>
              <w:sz w:val="16"/>
              <w:szCs w:val="16"/>
              <w:lang w:val="en-US"/>
            </w:rPr>
          </w:pPr>
          <w:r w:rsidRPr="008D1740">
            <w:rPr>
              <w:rFonts w:ascii="Times New Roman" w:eastAsia="Times New Roman" w:hAnsi="Times New Roman" w:cs="Times New Roman"/>
              <w:i/>
              <w:sz w:val="16"/>
              <w:szCs w:val="16"/>
              <w:lang w:val="en-US"/>
            </w:rPr>
            <w:t xml:space="preserve">Volume </w:t>
          </w:r>
          <w:r w:rsidR="00633677">
            <w:rPr>
              <w:rFonts w:ascii="Times New Roman" w:eastAsia="Times New Roman" w:hAnsi="Times New Roman" w:cs="Times New Roman"/>
              <w:i/>
              <w:sz w:val="16"/>
              <w:szCs w:val="16"/>
              <w:lang w:val="en-US"/>
            </w:rPr>
            <w:t>14</w:t>
          </w:r>
          <w:r w:rsidRPr="008D1740">
            <w:rPr>
              <w:rFonts w:ascii="Times New Roman" w:eastAsia="Times New Roman" w:hAnsi="Times New Roman" w:cs="Times New Roman"/>
              <w:i/>
              <w:sz w:val="16"/>
              <w:szCs w:val="16"/>
              <w:lang w:val="en-US"/>
            </w:rPr>
            <w:t xml:space="preserve"> No. </w:t>
          </w:r>
          <w:r w:rsidR="00633677">
            <w:rPr>
              <w:rFonts w:ascii="Times New Roman" w:eastAsia="Times New Roman" w:hAnsi="Times New Roman" w:cs="Times New Roman"/>
              <w:i/>
              <w:sz w:val="16"/>
              <w:szCs w:val="16"/>
              <w:lang w:val="en-US"/>
            </w:rPr>
            <w:t>3</w:t>
          </w:r>
          <w:r w:rsidRPr="008D1740">
            <w:rPr>
              <w:rFonts w:ascii="Times New Roman" w:eastAsia="Times New Roman" w:hAnsi="Times New Roman" w:cs="Times New Roman"/>
              <w:i/>
              <w:sz w:val="16"/>
              <w:szCs w:val="16"/>
              <w:lang w:val="en-US"/>
            </w:rPr>
            <w:t xml:space="preserve"> (20</w:t>
          </w:r>
          <w:r w:rsidR="00633677">
            <w:rPr>
              <w:rFonts w:ascii="Times New Roman" w:eastAsia="Times New Roman" w:hAnsi="Times New Roman" w:cs="Times New Roman"/>
              <w:i/>
              <w:sz w:val="16"/>
              <w:szCs w:val="16"/>
              <w:lang w:val="en-US"/>
            </w:rPr>
            <w:t>24</w:t>
          </w:r>
          <w:r w:rsidRPr="008D1740">
            <w:rPr>
              <w:rFonts w:ascii="Times New Roman" w:eastAsia="Times New Roman" w:hAnsi="Times New Roman" w:cs="Times New Roman"/>
              <w:i/>
              <w:sz w:val="16"/>
              <w:szCs w:val="16"/>
              <w:lang w:val="en-US"/>
            </w:rPr>
            <w:t>)</w:t>
          </w:r>
        </w:p>
      </w:tc>
    </w:tr>
  </w:tbl>
  <w:p w14:paraId="6DAFB84E" w14:textId="1E83CBE5" w:rsidR="009A4BBB" w:rsidRDefault="00772ADB" w:rsidP="005C1304">
    <w:pPr>
      <w:pBdr>
        <w:top w:val="nil"/>
        <w:left w:val="nil"/>
        <w:bottom w:val="nil"/>
        <w:right w:val="nil"/>
        <w:between w:val="nil"/>
      </w:pBdr>
      <w:tabs>
        <w:tab w:val="center" w:pos="4680"/>
        <w:tab w:val="right" w:pos="9360"/>
      </w:tabs>
      <w:spacing w:after="0" w:line="240" w:lineRule="auto"/>
      <w:rPr>
        <w:color w:val="000000"/>
      </w:rPr>
    </w:pPr>
    <w:r>
      <w:rPr>
        <w:noProof/>
        <w:color w:val="000000"/>
        <w:lang w:val="en-US"/>
      </w:rPr>
      <mc:AlternateContent>
        <mc:Choice Requires="wps">
          <w:drawing>
            <wp:anchor distT="0" distB="0" distL="114300" distR="114300" simplePos="0" relativeHeight="251655168" behindDoc="0" locked="0" layoutInCell="1" allowOverlap="1" wp14:anchorId="621A93AD" wp14:editId="037E4759">
              <wp:simplePos x="0" y="0"/>
              <wp:positionH relativeFrom="column">
                <wp:posOffset>0</wp:posOffset>
              </wp:positionH>
              <wp:positionV relativeFrom="paragraph">
                <wp:posOffset>118110</wp:posOffset>
              </wp:positionV>
              <wp:extent cx="5745480" cy="635"/>
              <wp:effectExtent l="19050" t="16510" r="17145" b="20955"/>
              <wp:wrapNone/>
              <wp:docPr id="4785209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54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D51F80" id="_x0000_t32" coordsize="21600,21600" o:spt="32" o:oned="t" path="m,l21600,21600e" filled="f">
              <v:path arrowok="t" fillok="f" o:connecttype="none"/>
              <o:lock v:ext="edit" shapetype="t"/>
            </v:shapetype>
            <v:shape id="AutoShape 3" o:spid="_x0000_s1026" type="#_x0000_t32" style="position:absolute;margin-left:0;margin-top:9.3pt;width:452.4pt;height:.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" strokeweight="2pt"/>
          </w:pict>
        </mc:Fallback>
      </mc:AlternateContent>
    </w:r>
    <w:r>
      <w:rPr>
        <w:noProof/>
        <w:lang w:val="en-US"/>
      </w:rPr>
      <w:drawing>
        <wp:anchor distT="0" distB="0" distL="114300" distR="114300" simplePos="0" relativeHeight="251654144" behindDoc="0" locked="0" layoutInCell="1" allowOverlap="1" wp14:anchorId="30A04C42" wp14:editId="54A14AF3">
          <wp:simplePos x="0" y="0"/>
          <wp:positionH relativeFrom="column">
            <wp:posOffset>-205740</wp:posOffset>
          </wp:positionH>
          <wp:positionV relativeFrom="paragraph">
            <wp:posOffset>-712470</wp:posOffset>
          </wp:positionV>
          <wp:extent cx="838200"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682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62C8B"/>
    <w:multiLevelType w:val="hybridMultilevel"/>
    <w:tmpl w:val="F0D83706"/>
    <w:lvl w:ilvl="0" w:tplc="3A423E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F36AA7"/>
    <w:multiLevelType w:val="hybridMultilevel"/>
    <w:tmpl w:val="A97C75AA"/>
    <w:lvl w:ilvl="0" w:tplc="B5C83C9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340E28D5"/>
    <w:multiLevelType w:val="hybridMultilevel"/>
    <w:tmpl w:val="7EC0ED90"/>
    <w:lvl w:ilvl="0" w:tplc="74682BE6">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9C90074"/>
    <w:multiLevelType w:val="hybridMultilevel"/>
    <w:tmpl w:val="07129230"/>
    <w:lvl w:ilvl="0" w:tplc="D75211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531B91"/>
    <w:multiLevelType w:val="multilevel"/>
    <w:tmpl w:val="72BC017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E155BE"/>
    <w:multiLevelType w:val="hybridMultilevel"/>
    <w:tmpl w:val="7ABA8FA0"/>
    <w:lvl w:ilvl="0" w:tplc="96187F0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5"/>
  </w:num>
  <w:num w:numId="3">
    <w:abstractNumId w:val="0"/>
  </w:num>
  <w:num w:numId="4">
    <w:abstractNumId w:val="2"/>
  </w:num>
  <w:num w:numId="5">
    <w:abstractNumId w:val="4"/>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0srCwNDEyMDQyMDVR0lEKTi0uzszPAykwNKgFAMRaiBEtAAAA"/>
  </w:docVars>
  <w:rsids>
    <w:rsidRoot w:val="009A4BBB"/>
    <w:rsid w:val="000058B4"/>
    <w:rsid w:val="00011950"/>
    <w:rsid w:val="00011957"/>
    <w:rsid w:val="0001433A"/>
    <w:rsid w:val="00014C35"/>
    <w:rsid w:val="00016EA7"/>
    <w:rsid w:val="000210C7"/>
    <w:rsid w:val="00035F2C"/>
    <w:rsid w:val="00036B28"/>
    <w:rsid w:val="00037502"/>
    <w:rsid w:val="0004004D"/>
    <w:rsid w:val="00055B2A"/>
    <w:rsid w:val="000710CD"/>
    <w:rsid w:val="00071ABE"/>
    <w:rsid w:val="0007676A"/>
    <w:rsid w:val="00083DB0"/>
    <w:rsid w:val="00084F35"/>
    <w:rsid w:val="00085B7B"/>
    <w:rsid w:val="00086DDA"/>
    <w:rsid w:val="00095A4B"/>
    <w:rsid w:val="000A57B3"/>
    <w:rsid w:val="000A64AC"/>
    <w:rsid w:val="000A7B2B"/>
    <w:rsid w:val="000B1463"/>
    <w:rsid w:val="000B4FB9"/>
    <w:rsid w:val="000B4FBC"/>
    <w:rsid w:val="000C129F"/>
    <w:rsid w:val="000D25B7"/>
    <w:rsid w:val="000E0215"/>
    <w:rsid w:val="000E3154"/>
    <w:rsid w:val="000E6767"/>
    <w:rsid w:val="000E6A28"/>
    <w:rsid w:val="000F4A18"/>
    <w:rsid w:val="001002C0"/>
    <w:rsid w:val="0010154D"/>
    <w:rsid w:val="00114D7E"/>
    <w:rsid w:val="00116E96"/>
    <w:rsid w:val="001214BA"/>
    <w:rsid w:val="001258E5"/>
    <w:rsid w:val="00143743"/>
    <w:rsid w:val="001453C5"/>
    <w:rsid w:val="0015514D"/>
    <w:rsid w:val="00160E58"/>
    <w:rsid w:val="00163B35"/>
    <w:rsid w:val="0016688A"/>
    <w:rsid w:val="001727C6"/>
    <w:rsid w:val="001734E0"/>
    <w:rsid w:val="001734E9"/>
    <w:rsid w:val="001759E6"/>
    <w:rsid w:val="001832D0"/>
    <w:rsid w:val="001958DF"/>
    <w:rsid w:val="001A00F1"/>
    <w:rsid w:val="001A2DA1"/>
    <w:rsid w:val="001A3F93"/>
    <w:rsid w:val="001B0435"/>
    <w:rsid w:val="001D174F"/>
    <w:rsid w:val="001D2DFD"/>
    <w:rsid w:val="001F0723"/>
    <w:rsid w:val="00205AC6"/>
    <w:rsid w:val="00206C82"/>
    <w:rsid w:val="00207D9E"/>
    <w:rsid w:val="002149DA"/>
    <w:rsid w:val="00215682"/>
    <w:rsid w:val="0021630E"/>
    <w:rsid w:val="002247EA"/>
    <w:rsid w:val="00232875"/>
    <w:rsid w:val="00243404"/>
    <w:rsid w:val="002464B3"/>
    <w:rsid w:val="00246A48"/>
    <w:rsid w:val="00247847"/>
    <w:rsid w:val="00253505"/>
    <w:rsid w:val="00260C11"/>
    <w:rsid w:val="00266784"/>
    <w:rsid w:val="00280D6D"/>
    <w:rsid w:val="0028168B"/>
    <w:rsid w:val="00284A8D"/>
    <w:rsid w:val="0028705E"/>
    <w:rsid w:val="002875DC"/>
    <w:rsid w:val="002B76BE"/>
    <w:rsid w:val="002C5C31"/>
    <w:rsid w:val="002C70B9"/>
    <w:rsid w:val="002E0C7F"/>
    <w:rsid w:val="002F2E85"/>
    <w:rsid w:val="002F4662"/>
    <w:rsid w:val="002F5E12"/>
    <w:rsid w:val="00307C3C"/>
    <w:rsid w:val="00315F61"/>
    <w:rsid w:val="00323D7D"/>
    <w:rsid w:val="00325AC7"/>
    <w:rsid w:val="00333535"/>
    <w:rsid w:val="003414B9"/>
    <w:rsid w:val="00344F1E"/>
    <w:rsid w:val="003468A8"/>
    <w:rsid w:val="00380633"/>
    <w:rsid w:val="00386D9F"/>
    <w:rsid w:val="003A46C1"/>
    <w:rsid w:val="003B4073"/>
    <w:rsid w:val="003B537E"/>
    <w:rsid w:val="003B6D50"/>
    <w:rsid w:val="003C57CB"/>
    <w:rsid w:val="003D073E"/>
    <w:rsid w:val="003D0E31"/>
    <w:rsid w:val="003D2EE3"/>
    <w:rsid w:val="003E3C17"/>
    <w:rsid w:val="003F266C"/>
    <w:rsid w:val="00402CF3"/>
    <w:rsid w:val="0040358D"/>
    <w:rsid w:val="004164BA"/>
    <w:rsid w:val="00425894"/>
    <w:rsid w:val="004420D3"/>
    <w:rsid w:val="004441DA"/>
    <w:rsid w:val="00444B38"/>
    <w:rsid w:val="0045288A"/>
    <w:rsid w:val="004653CD"/>
    <w:rsid w:val="004A1E64"/>
    <w:rsid w:val="004A325E"/>
    <w:rsid w:val="004A3A2C"/>
    <w:rsid w:val="004A472C"/>
    <w:rsid w:val="004A588F"/>
    <w:rsid w:val="004A700B"/>
    <w:rsid w:val="004B78D8"/>
    <w:rsid w:val="004D52E6"/>
    <w:rsid w:val="004E723A"/>
    <w:rsid w:val="004F2958"/>
    <w:rsid w:val="00502829"/>
    <w:rsid w:val="00503B26"/>
    <w:rsid w:val="00504A0F"/>
    <w:rsid w:val="0051092C"/>
    <w:rsid w:val="00511051"/>
    <w:rsid w:val="00512A76"/>
    <w:rsid w:val="00512C99"/>
    <w:rsid w:val="00515D01"/>
    <w:rsid w:val="00524A61"/>
    <w:rsid w:val="00526637"/>
    <w:rsid w:val="00537F50"/>
    <w:rsid w:val="005455FE"/>
    <w:rsid w:val="0055232A"/>
    <w:rsid w:val="00560346"/>
    <w:rsid w:val="005744BC"/>
    <w:rsid w:val="00575D31"/>
    <w:rsid w:val="00581E40"/>
    <w:rsid w:val="00582674"/>
    <w:rsid w:val="00584D07"/>
    <w:rsid w:val="00585E2F"/>
    <w:rsid w:val="005A4113"/>
    <w:rsid w:val="005A6C51"/>
    <w:rsid w:val="005A7627"/>
    <w:rsid w:val="005B3622"/>
    <w:rsid w:val="005C08DD"/>
    <w:rsid w:val="005C1304"/>
    <w:rsid w:val="005D74D5"/>
    <w:rsid w:val="005E3488"/>
    <w:rsid w:val="005E6242"/>
    <w:rsid w:val="005F122D"/>
    <w:rsid w:val="00612530"/>
    <w:rsid w:val="00612BBE"/>
    <w:rsid w:val="006204C0"/>
    <w:rsid w:val="00621272"/>
    <w:rsid w:val="00625815"/>
    <w:rsid w:val="00633677"/>
    <w:rsid w:val="0064380E"/>
    <w:rsid w:val="006443C9"/>
    <w:rsid w:val="00647744"/>
    <w:rsid w:val="00653319"/>
    <w:rsid w:val="006539F9"/>
    <w:rsid w:val="006610AE"/>
    <w:rsid w:val="006628AF"/>
    <w:rsid w:val="00667DF6"/>
    <w:rsid w:val="006721DE"/>
    <w:rsid w:val="00683E51"/>
    <w:rsid w:val="006A033E"/>
    <w:rsid w:val="006A274C"/>
    <w:rsid w:val="006A427F"/>
    <w:rsid w:val="006C1E7B"/>
    <w:rsid w:val="006F1497"/>
    <w:rsid w:val="006F6818"/>
    <w:rsid w:val="006F6A89"/>
    <w:rsid w:val="007031F3"/>
    <w:rsid w:val="007041A5"/>
    <w:rsid w:val="0071610C"/>
    <w:rsid w:val="00716669"/>
    <w:rsid w:val="00716AB5"/>
    <w:rsid w:val="007215FA"/>
    <w:rsid w:val="00721826"/>
    <w:rsid w:val="00732C4D"/>
    <w:rsid w:val="007338F1"/>
    <w:rsid w:val="00734C12"/>
    <w:rsid w:val="007452AA"/>
    <w:rsid w:val="00751266"/>
    <w:rsid w:val="00753A63"/>
    <w:rsid w:val="0075743F"/>
    <w:rsid w:val="00762E64"/>
    <w:rsid w:val="00772ADB"/>
    <w:rsid w:val="00777C6B"/>
    <w:rsid w:val="007A586B"/>
    <w:rsid w:val="007A65CE"/>
    <w:rsid w:val="007A7CDC"/>
    <w:rsid w:val="007B058C"/>
    <w:rsid w:val="007B4E4E"/>
    <w:rsid w:val="007B4F04"/>
    <w:rsid w:val="007B62B3"/>
    <w:rsid w:val="007C1357"/>
    <w:rsid w:val="007C6504"/>
    <w:rsid w:val="007D2F8A"/>
    <w:rsid w:val="007D340B"/>
    <w:rsid w:val="007D78FB"/>
    <w:rsid w:val="007F16D3"/>
    <w:rsid w:val="007F26E7"/>
    <w:rsid w:val="007F29EB"/>
    <w:rsid w:val="00801967"/>
    <w:rsid w:val="00803216"/>
    <w:rsid w:val="00803835"/>
    <w:rsid w:val="00805E51"/>
    <w:rsid w:val="0081376F"/>
    <w:rsid w:val="00815538"/>
    <w:rsid w:val="00816FD3"/>
    <w:rsid w:val="0082020D"/>
    <w:rsid w:val="0082416E"/>
    <w:rsid w:val="00826438"/>
    <w:rsid w:val="00831A86"/>
    <w:rsid w:val="00831F35"/>
    <w:rsid w:val="008325B9"/>
    <w:rsid w:val="00842F2E"/>
    <w:rsid w:val="008634CD"/>
    <w:rsid w:val="00877E3C"/>
    <w:rsid w:val="00880758"/>
    <w:rsid w:val="008865B6"/>
    <w:rsid w:val="008916E8"/>
    <w:rsid w:val="00896395"/>
    <w:rsid w:val="008B40AE"/>
    <w:rsid w:val="008B60B5"/>
    <w:rsid w:val="008C66DE"/>
    <w:rsid w:val="008D1740"/>
    <w:rsid w:val="008D2AEB"/>
    <w:rsid w:val="008D63AE"/>
    <w:rsid w:val="008E4C14"/>
    <w:rsid w:val="008F3BA3"/>
    <w:rsid w:val="00900054"/>
    <w:rsid w:val="00910038"/>
    <w:rsid w:val="00911ECE"/>
    <w:rsid w:val="009164D7"/>
    <w:rsid w:val="00935575"/>
    <w:rsid w:val="0094014D"/>
    <w:rsid w:val="0094605B"/>
    <w:rsid w:val="00946276"/>
    <w:rsid w:val="00954B6A"/>
    <w:rsid w:val="00977C4F"/>
    <w:rsid w:val="0098028B"/>
    <w:rsid w:val="0098354F"/>
    <w:rsid w:val="00997A96"/>
    <w:rsid w:val="009A3632"/>
    <w:rsid w:val="009A4BBB"/>
    <w:rsid w:val="009A7377"/>
    <w:rsid w:val="009F2399"/>
    <w:rsid w:val="009F6E9F"/>
    <w:rsid w:val="00A10014"/>
    <w:rsid w:val="00A32508"/>
    <w:rsid w:val="00A33004"/>
    <w:rsid w:val="00A35578"/>
    <w:rsid w:val="00A37C6F"/>
    <w:rsid w:val="00A461D6"/>
    <w:rsid w:val="00A53510"/>
    <w:rsid w:val="00A6448B"/>
    <w:rsid w:val="00A65742"/>
    <w:rsid w:val="00A70B40"/>
    <w:rsid w:val="00A70B92"/>
    <w:rsid w:val="00A74879"/>
    <w:rsid w:val="00A80B96"/>
    <w:rsid w:val="00A84815"/>
    <w:rsid w:val="00A91831"/>
    <w:rsid w:val="00A94D78"/>
    <w:rsid w:val="00A94F09"/>
    <w:rsid w:val="00AA3F98"/>
    <w:rsid w:val="00AA4F20"/>
    <w:rsid w:val="00AB15A1"/>
    <w:rsid w:val="00AB3679"/>
    <w:rsid w:val="00AB7DD8"/>
    <w:rsid w:val="00AD5D90"/>
    <w:rsid w:val="00AD717B"/>
    <w:rsid w:val="00AE264F"/>
    <w:rsid w:val="00AE6A7A"/>
    <w:rsid w:val="00AE7FE1"/>
    <w:rsid w:val="00B02038"/>
    <w:rsid w:val="00B038C8"/>
    <w:rsid w:val="00B235E8"/>
    <w:rsid w:val="00B3680E"/>
    <w:rsid w:val="00B36845"/>
    <w:rsid w:val="00B37743"/>
    <w:rsid w:val="00B47DD1"/>
    <w:rsid w:val="00B71075"/>
    <w:rsid w:val="00B76B3F"/>
    <w:rsid w:val="00B773B3"/>
    <w:rsid w:val="00B82D52"/>
    <w:rsid w:val="00B96D5E"/>
    <w:rsid w:val="00BA3E0F"/>
    <w:rsid w:val="00BB0133"/>
    <w:rsid w:val="00BB331A"/>
    <w:rsid w:val="00BB54BD"/>
    <w:rsid w:val="00BB5F0C"/>
    <w:rsid w:val="00BC20B5"/>
    <w:rsid w:val="00BC3F16"/>
    <w:rsid w:val="00BC55FA"/>
    <w:rsid w:val="00BE0FC5"/>
    <w:rsid w:val="00BE134B"/>
    <w:rsid w:val="00BE5737"/>
    <w:rsid w:val="00BE7E98"/>
    <w:rsid w:val="00C01733"/>
    <w:rsid w:val="00C07AEA"/>
    <w:rsid w:val="00C20CC7"/>
    <w:rsid w:val="00C23F10"/>
    <w:rsid w:val="00C2710A"/>
    <w:rsid w:val="00C319C6"/>
    <w:rsid w:val="00C31F72"/>
    <w:rsid w:val="00C34DC0"/>
    <w:rsid w:val="00C34E37"/>
    <w:rsid w:val="00C3780F"/>
    <w:rsid w:val="00C45322"/>
    <w:rsid w:val="00C53551"/>
    <w:rsid w:val="00C57FC0"/>
    <w:rsid w:val="00C65344"/>
    <w:rsid w:val="00C71D9A"/>
    <w:rsid w:val="00C7309A"/>
    <w:rsid w:val="00C76019"/>
    <w:rsid w:val="00C832BE"/>
    <w:rsid w:val="00C83BEA"/>
    <w:rsid w:val="00C84EEC"/>
    <w:rsid w:val="00C871E8"/>
    <w:rsid w:val="00C9006D"/>
    <w:rsid w:val="00CA5E87"/>
    <w:rsid w:val="00CA7DA2"/>
    <w:rsid w:val="00CB1D4D"/>
    <w:rsid w:val="00CD2614"/>
    <w:rsid w:val="00CF3372"/>
    <w:rsid w:val="00CF4C8D"/>
    <w:rsid w:val="00CF5122"/>
    <w:rsid w:val="00CF6355"/>
    <w:rsid w:val="00D06F2C"/>
    <w:rsid w:val="00D135E3"/>
    <w:rsid w:val="00D21A80"/>
    <w:rsid w:val="00D44D5C"/>
    <w:rsid w:val="00D4693A"/>
    <w:rsid w:val="00D62EDF"/>
    <w:rsid w:val="00D64822"/>
    <w:rsid w:val="00D65A72"/>
    <w:rsid w:val="00D75FB6"/>
    <w:rsid w:val="00D80BC8"/>
    <w:rsid w:val="00D83462"/>
    <w:rsid w:val="00D92246"/>
    <w:rsid w:val="00D922F0"/>
    <w:rsid w:val="00DA4DC1"/>
    <w:rsid w:val="00DB3436"/>
    <w:rsid w:val="00DB5454"/>
    <w:rsid w:val="00DB62A6"/>
    <w:rsid w:val="00DD26BE"/>
    <w:rsid w:val="00DD2E1A"/>
    <w:rsid w:val="00DD5864"/>
    <w:rsid w:val="00DD79E5"/>
    <w:rsid w:val="00DE1EB0"/>
    <w:rsid w:val="00DF3574"/>
    <w:rsid w:val="00DF4761"/>
    <w:rsid w:val="00DF6528"/>
    <w:rsid w:val="00E00AB6"/>
    <w:rsid w:val="00E05CE8"/>
    <w:rsid w:val="00E063F9"/>
    <w:rsid w:val="00E07227"/>
    <w:rsid w:val="00E0731A"/>
    <w:rsid w:val="00E229D4"/>
    <w:rsid w:val="00E24D9F"/>
    <w:rsid w:val="00E32F57"/>
    <w:rsid w:val="00E33C41"/>
    <w:rsid w:val="00E33D98"/>
    <w:rsid w:val="00E34C95"/>
    <w:rsid w:val="00E36409"/>
    <w:rsid w:val="00E4282F"/>
    <w:rsid w:val="00E454B1"/>
    <w:rsid w:val="00E466C0"/>
    <w:rsid w:val="00E511D8"/>
    <w:rsid w:val="00E552B7"/>
    <w:rsid w:val="00E57AEF"/>
    <w:rsid w:val="00E620F6"/>
    <w:rsid w:val="00E66780"/>
    <w:rsid w:val="00E7039C"/>
    <w:rsid w:val="00E83A18"/>
    <w:rsid w:val="00E858C4"/>
    <w:rsid w:val="00E91A01"/>
    <w:rsid w:val="00E91F11"/>
    <w:rsid w:val="00E940FF"/>
    <w:rsid w:val="00E9519B"/>
    <w:rsid w:val="00EB40E5"/>
    <w:rsid w:val="00ED2A09"/>
    <w:rsid w:val="00EE2A25"/>
    <w:rsid w:val="00EF1F97"/>
    <w:rsid w:val="00EF5134"/>
    <w:rsid w:val="00F0114D"/>
    <w:rsid w:val="00F011AC"/>
    <w:rsid w:val="00F109EB"/>
    <w:rsid w:val="00F12CAC"/>
    <w:rsid w:val="00F14E4C"/>
    <w:rsid w:val="00F16EEF"/>
    <w:rsid w:val="00F20C70"/>
    <w:rsid w:val="00F26B3D"/>
    <w:rsid w:val="00F30EE3"/>
    <w:rsid w:val="00F37088"/>
    <w:rsid w:val="00F4065A"/>
    <w:rsid w:val="00F40AED"/>
    <w:rsid w:val="00F41269"/>
    <w:rsid w:val="00F42E52"/>
    <w:rsid w:val="00F51E6F"/>
    <w:rsid w:val="00F55EDB"/>
    <w:rsid w:val="00F600C0"/>
    <w:rsid w:val="00F6413F"/>
    <w:rsid w:val="00F81E4A"/>
    <w:rsid w:val="00F828BC"/>
    <w:rsid w:val="00F95EA3"/>
    <w:rsid w:val="00FA10F9"/>
    <w:rsid w:val="00FA36CB"/>
    <w:rsid w:val="00FA7266"/>
    <w:rsid w:val="00FB2ACC"/>
    <w:rsid w:val="00FC1D77"/>
    <w:rsid w:val="00FD35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23DA1"/>
  <w15:chartTrackingRefBased/>
  <w15:docId w15:val="{1FA65B2A-EA64-4B37-BF97-BD6DE0E8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E0215"/>
    <w:pPr>
      <w:spacing w:after="160" w:line="259" w:lineRule="auto"/>
    </w:pPr>
    <w:rPr>
      <w:sz w:val="22"/>
      <w:szCs w:val="22"/>
      <w:lang w:val="id-ID"/>
    </w:rPr>
  </w:style>
  <w:style w:type="paragraph" w:styleId="Heading1">
    <w:name w:val="heading 1"/>
    <w:basedOn w:val="Normal"/>
    <w:next w:val="Normal"/>
    <w:rsid w:val="000E0215"/>
    <w:pPr>
      <w:keepNext/>
      <w:keepLines/>
      <w:spacing w:before="480" w:after="120"/>
      <w:outlineLvl w:val="0"/>
    </w:pPr>
    <w:rPr>
      <w:b/>
      <w:sz w:val="48"/>
      <w:szCs w:val="48"/>
    </w:rPr>
  </w:style>
  <w:style w:type="paragraph" w:styleId="Heading2">
    <w:name w:val="heading 2"/>
    <w:basedOn w:val="Normal"/>
    <w:next w:val="Normal"/>
    <w:rsid w:val="000E0215"/>
    <w:pPr>
      <w:keepNext/>
      <w:keepLines/>
      <w:spacing w:before="360" w:after="80"/>
      <w:outlineLvl w:val="1"/>
    </w:pPr>
    <w:rPr>
      <w:b/>
      <w:sz w:val="36"/>
      <w:szCs w:val="36"/>
    </w:rPr>
  </w:style>
  <w:style w:type="paragraph" w:styleId="Heading3">
    <w:name w:val="heading 3"/>
    <w:basedOn w:val="Normal"/>
    <w:next w:val="Normal"/>
    <w:rsid w:val="000E0215"/>
    <w:pPr>
      <w:keepNext/>
      <w:spacing w:before="240" w:after="60" w:line="240" w:lineRule="auto"/>
      <w:ind w:left="360" w:hanging="360"/>
      <w:outlineLvl w:val="2"/>
    </w:pPr>
    <w:rPr>
      <w:rFonts w:ascii="Arial" w:eastAsia="Arial" w:hAnsi="Arial" w:cs="Arial"/>
      <w:b/>
      <w:sz w:val="26"/>
      <w:szCs w:val="26"/>
    </w:rPr>
  </w:style>
  <w:style w:type="paragraph" w:styleId="Heading4">
    <w:name w:val="heading 4"/>
    <w:basedOn w:val="Normal"/>
    <w:next w:val="Normal"/>
    <w:rsid w:val="000E0215"/>
    <w:pPr>
      <w:keepNext/>
      <w:keepLines/>
      <w:spacing w:before="240" w:after="40"/>
      <w:outlineLvl w:val="3"/>
    </w:pPr>
    <w:rPr>
      <w:b/>
      <w:sz w:val="24"/>
      <w:szCs w:val="24"/>
    </w:rPr>
  </w:style>
  <w:style w:type="paragraph" w:styleId="Heading5">
    <w:name w:val="heading 5"/>
    <w:basedOn w:val="Normal"/>
    <w:next w:val="Normal"/>
    <w:rsid w:val="000E0215"/>
    <w:pPr>
      <w:keepNext/>
      <w:keepLines/>
      <w:spacing w:before="220" w:after="40"/>
      <w:outlineLvl w:val="4"/>
    </w:pPr>
    <w:rPr>
      <w:b/>
    </w:rPr>
  </w:style>
  <w:style w:type="paragraph" w:styleId="Heading6">
    <w:name w:val="heading 6"/>
    <w:basedOn w:val="Normal"/>
    <w:next w:val="Normal"/>
    <w:rsid w:val="000E021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E0215"/>
    <w:pPr>
      <w:keepNext/>
      <w:keepLines/>
      <w:spacing w:before="480" w:after="120"/>
    </w:pPr>
    <w:rPr>
      <w:b/>
      <w:sz w:val="72"/>
      <w:szCs w:val="72"/>
    </w:rPr>
  </w:style>
  <w:style w:type="paragraph" w:styleId="Subtitle">
    <w:name w:val="Subtitle"/>
    <w:basedOn w:val="Normal"/>
    <w:next w:val="Normal"/>
    <w:rsid w:val="000E0215"/>
    <w:pPr>
      <w:keepNext/>
      <w:keepLines/>
      <w:spacing w:before="360" w:after="80"/>
    </w:pPr>
    <w:rPr>
      <w:rFonts w:ascii="Georgia" w:eastAsia="Georgia" w:hAnsi="Georgia" w:cs="Georgia"/>
      <w:i/>
      <w:color w:val="666666"/>
      <w:sz w:val="48"/>
      <w:szCs w:val="48"/>
    </w:rPr>
  </w:style>
  <w:style w:type="table" w:customStyle="1" w:styleId="a">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0E0215"/>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0E0215"/>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8C66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6DE"/>
  </w:style>
  <w:style w:type="paragraph" w:styleId="Footer">
    <w:name w:val="footer"/>
    <w:basedOn w:val="Normal"/>
    <w:link w:val="FooterChar"/>
    <w:uiPriority w:val="99"/>
    <w:unhideWhenUsed/>
    <w:rsid w:val="008C6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6DE"/>
  </w:style>
  <w:style w:type="paragraph" w:styleId="NoSpacing">
    <w:name w:val="No Spacing"/>
    <w:link w:val="NoSpacingChar"/>
    <w:uiPriority w:val="1"/>
    <w:qFormat/>
    <w:rsid w:val="007B058C"/>
    <w:rPr>
      <w:rFonts w:eastAsia="Times New Roman" w:cs="Times New Roman"/>
      <w:sz w:val="22"/>
      <w:szCs w:val="22"/>
      <w:lang w:val="id-ID" w:eastAsia="id-ID"/>
    </w:rPr>
  </w:style>
  <w:style w:type="table" w:styleId="TableGrid">
    <w:name w:val="Table Grid"/>
    <w:basedOn w:val="TableNormal"/>
    <w:uiPriority w:val="99"/>
    <w:rsid w:val="009F6E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149DA"/>
    <w:rPr>
      <w:color w:val="0563C1"/>
      <w:u w:val="single"/>
    </w:rPr>
  </w:style>
  <w:style w:type="character" w:customStyle="1" w:styleId="hps">
    <w:name w:val="hps"/>
    <w:basedOn w:val="DefaultParagraphFont"/>
    <w:rsid w:val="002149DA"/>
  </w:style>
  <w:style w:type="paragraph" w:styleId="ListParagraph">
    <w:name w:val="List Paragraph"/>
    <w:aliases w:val="Normal1,Normal2,normal,Normal3,Body of text,Colorful List - Accent 11,List Paragraph1,Normal11,Normal4,Normal5,Normal6,Normal7,Normal8,Normal9,Normal10,Normal12,Normal13,Normal14,Normal15,Normal16,Normal17"/>
    <w:basedOn w:val="Normal"/>
    <w:link w:val="ListParagraphChar"/>
    <w:uiPriority w:val="34"/>
    <w:qFormat/>
    <w:rsid w:val="002149DA"/>
    <w:pPr>
      <w:ind w:left="720"/>
      <w:contextualSpacing/>
    </w:pPr>
    <w:rPr>
      <w:rFonts w:cs="Times New Roman"/>
      <w:sz w:val="20"/>
      <w:szCs w:val="20"/>
      <w:lang w:val="x-none" w:eastAsia="x-none"/>
    </w:rPr>
  </w:style>
  <w:style w:type="character" w:customStyle="1" w:styleId="ListParagraphChar">
    <w:name w:val="List Paragraph Char"/>
    <w:aliases w:val="Normal1 Char,Normal2 Char,normal Char,Normal3 Char,Body of text Char,Colorful List - Accent 11 Char,List Paragraph1 Char,Normal11 Char,Normal4 Char,Normal5 Char,Normal6 Char,Normal7 Char,Normal8 Char,Normal9 Char,Normal10 Char"/>
    <w:link w:val="ListParagraph"/>
    <w:uiPriority w:val="34"/>
    <w:locked/>
    <w:rsid w:val="002149DA"/>
    <w:rPr>
      <w:rFonts w:cs="Times New Roman"/>
      <w:lang w:eastAsia="x-none"/>
    </w:rPr>
  </w:style>
  <w:style w:type="paragraph" w:styleId="BalloonText">
    <w:name w:val="Balloon Text"/>
    <w:basedOn w:val="Normal"/>
    <w:link w:val="BalloonTextChar"/>
    <w:uiPriority w:val="99"/>
    <w:semiHidden/>
    <w:unhideWhenUsed/>
    <w:rsid w:val="00C3780F"/>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C3780F"/>
    <w:rPr>
      <w:rFonts w:ascii="Tahoma" w:hAnsi="Tahoma" w:cs="Tahoma"/>
      <w:sz w:val="16"/>
      <w:szCs w:val="16"/>
    </w:rPr>
  </w:style>
  <w:style w:type="character" w:customStyle="1" w:styleId="NoSpacingChar">
    <w:name w:val="No Spacing Char"/>
    <w:link w:val="NoSpacing"/>
    <w:uiPriority w:val="1"/>
    <w:locked/>
    <w:rsid w:val="005D74D5"/>
    <w:rPr>
      <w:rFonts w:eastAsia="Times New Roman" w:cs="Times New Roman"/>
      <w:sz w:val="22"/>
      <w:szCs w:val="22"/>
      <w:lang w:val="id-ID" w:eastAsia="id-ID" w:bidi="ar-SA"/>
    </w:rPr>
  </w:style>
  <w:style w:type="paragraph" w:customStyle="1" w:styleId="Style">
    <w:name w:val="Style"/>
    <w:link w:val="StyleChar"/>
    <w:rsid w:val="005D74D5"/>
    <w:pPr>
      <w:widowControl w:val="0"/>
      <w:autoSpaceDE w:val="0"/>
      <w:autoSpaceDN w:val="0"/>
      <w:adjustRightInd w:val="0"/>
    </w:pPr>
    <w:rPr>
      <w:rFonts w:eastAsia="Times New Roman" w:cs="Times New Roman"/>
      <w:sz w:val="24"/>
      <w:szCs w:val="24"/>
    </w:rPr>
  </w:style>
  <w:style w:type="character" w:customStyle="1" w:styleId="StyleChar">
    <w:name w:val="Style Char"/>
    <w:link w:val="Style"/>
    <w:locked/>
    <w:rsid w:val="005D74D5"/>
    <w:rPr>
      <w:rFonts w:eastAsia="Times New Roman" w:cs="Times New Roman"/>
      <w:sz w:val="24"/>
      <w:szCs w:val="24"/>
      <w:lang w:val="en-US" w:eastAsia="en-US" w:bidi="ar-SA"/>
    </w:rPr>
  </w:style>
  <w:style w:type="paragraph" w:styleId="Quote">
    <w:name w:val="Quote"/>
    <w:basedOn w:val="Normal"/>
    <w:next w:val="Normal"/>
    <w:link w:val="QuoteChar"/>
    <w:uiPriority w:val="29"/>
    <w:qFormat/>
    <w:rsid w:val="003B6D50"/>
    <w:pPr>
      <w:spacing w:after="200" w:line="276" w:lineRule="auto"/>
    </w:pPr>
    <w:rPr>
      <w:rFonts w:eastAsia="Times New Roman" w:cs="Times New Roman"/>
      <w:i/>
      <w:iCs/>
      <w:color w:val="000000"/>
      <w:lang w:val="x-none" w:eastAsia="x-none"/>
    </w:rPr>
  </w:style>
  <w:style w:type="character" w:customStyle="1" w:styleId="QuoteChar">
    <w:name w:val="Quote Char"/>
    <w:link w:val="Quote"/>
    <w:uiPriority w:val="29"/>
    <w:rsid w:val="003B6D50"/>
    <w:rPr>
      <w:rFonts w:eastAsia="Times New Roman" w:cs="Times New Roman"/>
      <w:i/>
      <w:iCs/>
      <w:color w:val="000000"/>
      <w:sz w:val="22"/>
      <w:szCs w:val="22"/>
    </w:rPr>
  </w:style>
  <w:style w:type="character" w:styleId="Strong">
    <w:name w:val="Strong"/>
    <w:qFormat/>
    <w:rsid w:val="003B6D50"/>
    <w:rPr>
      <w:b/>
      <w:bCs/>
    </w:rPr>
  </w:style>
  <w:style w:type="paragraph" w:styleId="FootnoteText">
    <w:name w:val="footnote text"/>
    <w:aliases w:val="Char Char1 Char Char Char,Char Char1 Char Char Char Char Char Char Char Char Char Char Char,Footnote Text Char1 Char,Footnote Text Char Char Char,Footnote Text Char Char1, Char,Char Char1 Char Char,Char,Char Char Char Char"/>
    <w:basedOn w:val="Normal"/>
    <w:link w:val="FootnoteTextChar"/>
    <w:uiPriority w:val="99"/>
    <w:unhideWhenUsed/>
    <w:qFormat/>
    <w:rsid w:val="001832D0"/>
    <w:pPr>
      <w:spacing w:after="0" w:line="240" w:lineRule="auto"/>
    </w:pPr>
    <w:rPr>
      <w:rFonts w:cs="Times New Roman"/>
      <w:sz w:val="20"/>
      <w:szCs w:val="20"/>
      <w:lang w:eastAsia="x-none"/>
    </w:rPr>
  </w:style>
  <w:style w:type="character" w:customStyle="1" w:styleId="FootnoteTextChar">
    <w:name w:val="Footnote Text Char"/>
    <w:aliases w:val="Char Char1 Char Char Char Char,Char Char1 Char Char Char Char Char Char Char Char Char Char Char Char,Footnote Text Char1 Char Char,Footnote Text Char Char Char Char,Footnote Text Char Char1 Char, Char Char,Char Char1 Char Char Char1"/>
    <w:link w:val="FootnoteText"/>
    <w:uiPriority w:val="99"/>
    <w:rsid w:val="001832D0"/>
    <w:rPr>
      <w:rFonts w:cs="Times New Roman"/>
      <w:lang w:val="id-ID"/>
    </w:rPr>
  </w:style>
  <w:style w:type="character" w:styleId="FootnoteReference">
    <w:name w:val="footnote reference"/>
    <w:uiPriority w:val="99"/>
    <w:unhideWhenUsed/>
    <w:rsid w:val="001832D0"/>
    <w:rPr>
      <w:vertAlign w:val="superscript"/>
    </w:rPr>
  </w:style>
  <w:style w:type="paragraph" w:customStyle="1" w:styleId="Default">
    <w:name w:val="Default"/>
    <w:rsid w:val="00280D6D"/>
    <w:pPr>
      <w:autoSpaceDE w:val="0"/>
      <w:autoSpaceDN w:val="0"/>
      <w:adjustRightInd w:val="0"/>
    </w:pPr>
    <w:rPr>
      <w:rFonts w:ascii="Times New Roman" w:eastAsia="Times New Roman" w:hAnsi="Times New Roman" w:cs="Times New Roman"/>
      <w:color w:val="000000"/>
      <w:sz w:val="24"/>
      <w:szCs w:val="24"/>
      <w:lang w:val="en-GB" w:eastAsia="en-GB"/>
    </w:rPr>
  </w:style>
  <w:style w:type="character" w:customStyle="1" w:styleId="CharacterStyle2">
    <w:name w:val="Character Style 2"/>
    <w:uiPriority w:val="99"/>
    <w:rsid w:val="00205AC6"/>
    <w:rPr>
      <w:rFonts w:ascii="Garamond" w:hAnsi="Garamond"/>
      <w:sz w:val="24"/>
    </w:rPr>
  </w:style>
  <w:style w:type="character" w:customStyle="1" w:styleId="CharacterStyle3">
    <w:name w:val="Character Style 3"/>
    <w:uiPriority w:val="99"/>
    <w:rsid w:val="00205AC6"/>
    <w:rPr>
      <w:rFonts w:ascii="Garamond" w:hAnsi="Garamond"/>
      <w:sz w:val="24"/>
    </w:rPr>
  </w:style>
  <w:style w:type="paragraph" w:customStyle="1" w:styleId="Style1">
    <w:name w:val="Style 1"/>
    <w:basedOn w:val="Normal"/>
    <w:rsid w:val="00205AC6"/>
    <w:pPr>
      <w:widowControl w:val="0"/>
      <w:spacing w:after="0" w:line="240" w:lineRule="auto"/>
      <w:jc w:val="center"/>
    </w:pPr>
    <w:rPr>
      <w:rFonts w:eastAsia="Times New Roman" w:cs="Times New Roman"/>
      <w:color w:val="000000"/>
      <w:sz w:val="20"/>
      <w:szCs w:val="20"/>
      <w:lang w:val="en-US"/>
    </w:rPr>
  </w:style>
  <w:style w:type="paragraph" w:customStyle="1" w:styleId="I">
    <w:name w:val="I"/>
    <w:basedOn w:val="Normal"/>
    <w:rsid w:val="002464B3"/>
    <w:pPr>
      <w:autoSpaceDE w:val="0"/>
      <w:autoSpaceDN w:val="0"/>
      <w:spacing w:after="0" w:line="240" w:lineRule="auto"/>
      <w:jc w:val="both"/>
    </w:pPr>
    <w:rPr>
      <w:rFonts w:ascii="Arial Narrow" w:eastAsia="Times New Roman" w:hAnsi="Arial Narrow" w:cs="Times New Roman"/>
      <w:sz w:val="24"/>
      <w:szCs w:val="20"/>
    </w:rPr>
  </w:style>
  <w:style w:type="character" w:customStyle="1" w:styleId="alignjustify">
    <w:name w:val="alignjustify"/>
    <w:basedOn w:val="DefaultParagraphFont"/>
    <w:rsid w:val="002464B3"/>
  </w:style>
  <w:style w:type="paragraph" w:styleId="BodyTextIndent">
    <w:name w:val="Body Text Indent"/>
    <w:basedOn w:val="Normal"/>
    <w:link w:val="BodyTextIndentChar"/>
    <w:rsid w:val="00900054"/>
    <w:pPr>
      <w:spacing w:after="0" w:line="240" w:lineRule="auto"/>
      <w:ind w:left="360"/>
    </w:pPr>
    <w:rPr>
      <w:rFonts w:ascii="Times New Roman" w:eastAsia="Times New Roman" w:hAnsi="Times New Roman" w:cs="Times New Roman"/>
      <w:sz w:val="24"/>
      <w:szCs w:val="20"/>
      <w:lang w:val="x-none" w:eastAsia="x-none"/>
    </w:rPr>
  </w:style>
  <w:style w:type="character" w:customStyle="1" w:styleId="BodyTextIndentChar">
    <w:name w:val="Body Text Indent Char"/>
    <w:link w:val="BodyTextIndent"/>
    <w:rsid w:val="00900054"/>
    <w:rPr>
      <w:rFonts w:ascii="Times New Roman" w:eastAsia="Times New Roman" w:hAnsi="Times New Roman" w:cs="Times New Roman"/>
      <w:sz w:val="24"/>
    </w:rPr>
  </w:style>
  <w:style w:type="paragraph" w:styleId="BodyText">
    <w:name w:val="Body Text"/>
    <w:basedOn w:val="Normal"/>
    <w:link w:val="BodyTextChar"/>
    <w:rsid w:val="00803216"/>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link w:val="BodyText"/>
    <w:rsid w:val="00803216"/>
    <w:rPr>
      <w:rFonts w:ascii="Times New Roman" w:eastAsia="Times New Roman" w:hAnsi="Times New Roman" w:cs="Times New Roman"/>
      <w:sz w:val="24"/>
      <w:szCs w:val="24"/>
    </w:rPr>
  </w:style>
  <w:style w:type="character" w:customStyle="1" w:styleId="tlid-translation">
    <w:name w:val="tlid-translation"/>
    <w:basedOn w:val="DefaultParagraphFont"/>
    <w:rsid w:val="00C319C6"/>
  </w:style>
  <w:style w:type="paragraph" w:styleId="BodyTextIndent3">
    <w:name w:val="Body Text Indent 3"/>
    <w:basedOn w:val="Normal"/>
    <w:link w:val="BodyTextIndent3Char"/>
    <w:uiPriority w:val="99"/>
    <w:unhideWhenUsed/>
    <w:rsid w:val="004D52E6"/>
    <w:pPr>
      <w:spacing w:after="120"/>
      <w:ind w:left="360"/>
    </w:pPr>
    <w:rPr>
      <w:sz w:val="16"/>
      <w:szCs w:val="16"/>
    </w:rPr>
  </w:style>
  <w:style w:type="character" w:customStyle="1" w:styleId="BodyTextIndent3Char">
    <w:name w:val="Body Text Indent 3 Char"/>
    <w:link w:val="BodyTextIndent3"/>
    <w:uiPriority w:val="99"/>
    <w:rsid w:val="004D52E6"/>
    <w:rPr>
      <w:sz w:val="16"/>
      <w:szCs w:val="16"/>
      <w:lang w:val="id-ID"/>
    </w:rPr>
  </w:style>
  <w:style w:type="paragraph" w:styleId="NormalWeb">
    <w:name w:val="Normal (Web)"/>
    <w:basedOn w:val="Normal"/>
    <w:uiPriority w:val="99"/>
    <w:unhideWhenUsed/>
    <w:rsid w:val="002C5C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uiPriority w:val="20"/>
    <w:qFormat/>
    <w:rsid w:val="00D06F2C"/>
    <w:rPr>
      <w:i/>
      <w:iCs/>
    </w:rPr>
  </w:style>
  <w:style w:type="character" w:customStyle="1" w:styleId="UnresolvedMention1">
    <w:name w:val="Unresolved Mention1"/>
    <w:uiPriority w:val="99"/>
    <w:semiHidden/>
    <w:unhideWhenUsed/>
    <w:rsid w:val="00AD5D90"/>
    <w:rPr>
      <w:color w:val="605E5C"/>
      <w:shd w:val="clear" w:color="auto" w:fill="E1DFDD"/>
    </w:rPr>
  </w:style>
  <w:style w:type="paragraph" w:styleId="HTMLPreformatted">
    <w:name w:val="HTML Preformatted"/>
    <w:basedOn w:val="Normal"/>
    <w:link w:val="HTMLPreformattedChar"/>
    <w:uiPriority w:val="99"/>
    <w:semiHidden/>
    <w:unhideWhenUsed/>
    <w:rsid w:val="0001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semiHidden/>
    <w:rsid w:val="0001433A"/>
    <w:rPr>
      <w:rFonts w:ascii="Courier New" w:eastAsia="Times New Roman" w:hAnsi="Courier New" w:cs="Courier New"/>
    </w:rPr>
  </w:style>
  <w:style w:type="character" w:customStyle="1" w:styleId="y2iqfc">
    <w:name w:val="y2iqfc"/>
    <w:basedOn w:val="DefaultParagraphFont"/>
    <w:rsid w:val="0001433A"/>
  </w:style>
  <w:style w:type="character" w:styleId="PageNumber">
    <w:name w:val="page number"/>
    <w:basedOn w:val="DefaultParagraphFont"/>
    <w:uiPriority w:val="99"/>
    <w:semiHidden/>
    <w:unhideWhenUsed/>
    <w:rsid w:val="00F011AC"/>
  </w:style>
  <w:style w:type="character" w:customStyle="1" w:styleId="UnresolvedMention">
    <w:name w:val="Unresolved Mention"/>
    <w:basedOn w:val="DefaultParagraphFont"/>
    <w:uiPriority w:val="99"/>
    <w:semiHidden/>
    <w:unhideWhenUsed/>
    <w:rsid w:val="00F95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57835">
      <w:bodyDiv w:val="1"/>
      <w:marLeft w:val="0"/>
      <w:marRight w:val="0"/>
      <w:marTop w:val="0"/>
      <w:marBottom w:val="0"/>
      <w:divBdr>
        <w:top w:val="none" w:sz="0" w:space="0" w:color="auto"/>
        <w:left w:val="none" w:sz="0" w:space="0" w:color="auto"/>
        <w:bottom w:val="none" w:sz="0" w:space="0" w:color="auto"/>
        <w:right w:val="none" w:sz="0" w:space="0" w:color="auto"/>
      </w:divBdr>
    </w:div>
    <w:div w:id="270938657">
      <w:bodyDiv w:val="1"/>
      <w:marLeft w:val="0"/>
      <w:marRight w:val="0"/>
      <w:marTop w:val="0"/>
      <w:marBottom w:val="0"/>
      <w:divBdr>
        <w:top w:val="none" w:sz="0" w:space="0" w:color="auto"/>
        <w:left w:val="none" w:sz="0" w:space="0" w:color="auto"/>
        <w:bottom w:val="none" w:sz="0" w:space="0" w:color="auto"/>
        <w:right w:val="none" w:sz="0" w:space="0" w:color="auto"/>
      </w:divBdr>
    </w:div>
    <w:div w:id="527525215">
      <w:bodyDiv w:val="1"/>
      <w:marLeft w:val="0"/>
      <w:marRight w:val="0"/>
      <w:marTop w:val="0"/>
      <w:marBottom w:val="0"/>
      <w:divBdr>
        <w:top w:val="none" w:sz="0" w:space="0" w:color="auto"/>
        <w:left w:val="none" w:sz="0" w:space="0" w:color="auto"/>
        <w:bottom w:val="none" w:sz="0" w:space="0" w:color="auto"/>
        <w:right w:val="none" w:sz="0" w:space="0" w:color="auto"/>
      </w:divBdr>
    </w:div>
    <w:div w:id="771971789">
      <w:bodyDiv w:val="1"/>
      <w:marLeft w:val="0"/>
      <w:marRight w:val="0"/>
      <w:marTop w:val="0"/>
      <w:marBottom w:val="0"/>
      <w:divBdr>
        <w:top w:val="none" w:sz="0" w:space="0" w:color="auto"/>
        <w:left w:val="none" w:sz="0" w:space="0" w:color="auto"/>
        <w:bottom w:val="none" w:sz="0" w:space="0" w:color="auto"/>
        <w:right w:val="none" w:sz="0" w:space="0" w:color="auto"/>
      </w:divBdr>
      <w:divsChild>
        <w:div w:id="935208470">
          <w:marLeft w:val="-108"/>
          <w:marRight w:val="0"/>
          <w:marTop w:val="0"/>
          <w:marBottom w:val="0"/>
          <w:divBdr>
            <w:top w:val="none" w:sz="0" w:space="0" w:color="auto"/>
            <w:left w:val="none" w:sz="0" w:space="0" w:color="auto"/>
            <w:bottom w:val="none" w:sz="0" w:space="0" w:color="auto"/>
            <w:right w:val="none" w:sz="0" w:space="0" w:color="auto"/>
          </w:divBdr>
        </w:div>
      </w:divsChild>
    </w:div>
    <w:div w:id="1114255066">
      <w:bodyDiv w:val="1"/>
      <w:marLeft w:val="0"/>
      <w:marRight w:val="0"/>
      <w:marTop w:val="0"/>
      <w:marBottom w:val="0"/>
      <w:divBdr>
        <w:top w:val="none" w:sz="0" w:space="0" w:color="auto"/>
        <w:left w:val="none" w:sz="0" w:space="0" w:color="auto"/>
        <w:bottom w:val="none" w:sz="0" w:space="0" w:color="auto"/>
        <w:right w:val="none" w:sz="0" w:space="0" w:color="auto"/>
      </w:divBdr>
    </w:div>
    <w:div w:id="1156921374">
      <w:bodyDiv w:val="1"/>
      <w:marLeft w:val="0"/>
      <w:marRight w:val="0"/>
      <w:marTop w:val="0"/>
      <w:marBottom w:val="0"/>
      <w:divBdr>
        <w:top w:val="none" w:sz="0" w:space="0" w:color="auto"/>
        <w:left w:val="none" w:sz="0" w:space="0" w:color="auto"/>
        <w:bottom w:val="none" w:sz="0" w:space="0" w:color="auto"/>
        <w:right w:val="none" w:sz="0" w:space="0" w:color="auto"/>
      </w:divBdr>
    </w:div>
    <w:div w:id="1180654801">
      <w:bodyDiv w:val="1"/>
      <w:marLeft w:val="0"/>
      <w:marRight w:val="0"/>
      <w:marTop w:val="0"/>
      <w:marBottom w:val="0"/>
      <w:divBdr>
        <w:top w:val="none" w:sz="0" w:space="0" w:color="auto"/>
        <w:left w:val="none" w:sz="0" w:space="0" w:color="auto"/>
        <w:bottom w:val="none" w:sz="0" w:space="0" w:color="auto"/>
        <w:right w:val="none" w:sz="0" w:space="0" w:color="auto"/>
      </w:divBdr>
    </w:div>
    <w:div w:id="1405835317">
      <w:bodyDiv w:val="1"/>
      <w:marLeft w:val="0"/>
      <w:marRight w:val="0"/>
      <w:marTop w:val="0"/>
      <w:marBottom w:val="0"/>
      <w:divBdr>
        <w:top w:val="none" w:sz="0" w:space="0" w:color="auto"/>
        <w:left w:val="none" w:sz="0" w:space="0" w:color="auto"/>
        <w:bottom w:val="none" w:sz="0" w:space="0" w:color="auto"/>
        <w:right w:val="none" w:sz="0" w:space="0" w:color="auto"/>
      </w:divBdr>
    </w:div>
    <w:div w:id="1534028278">
      <w:bodyDiv w:val="1"/>
      <w:marLeft w:val="0"/>
      <w:marRight w:val="0"/>
      <w:marTop w:val="0"/>
      <w:marBottom w:val="0"/>
      <w:divBdr>
        <w:top w:val="none" w:sz="0" w:space="0" w:color="auto"/>
        <w:left w:val="none" w:sz="0" w:space="0" w:color="auto"/>
        <w:bottom w:val="none" w:sz="0" w:space="0" w:color="auto"/>
        <w:right w:val="none" w:sz="0" w:space="0" w:color="auto"/>
      </w:divBdr>
    </w:div>
    <w:div w:id="1625817697">
      <w:bodyDiv w:val="1"/>
      <w:marLeft w:val="0"/>
      <w:marRight w:val="0"/>
      <w:marTop w:val="0"/>
      <w:marBottom w:val="0"/>
      <w:divBdr>
        <w:top w:val="none" w:sz="0" w:space="0" w:color="auto"/>
        <w:left w:val="none" w:sz="0" w:space="0" w:color="auto"/>
        <w:bottom w:val="none" w:sz="0" w:space="0" w:color="auto"/>
        <w:right w:val="none" w:sz="0" w:space="0" w:color="auto"/>
      </w:divBdr>
    </w:div>
    <w:div w:id="1715815207">
      <w:bodyDiv w:val="1"/>
      <w:marLeft w:val="0"/>
      <w:marRight w:val="0"/>
      <w:marTop w:val="0"/>
      <w:marBottom w:val="0"/>
      <w:divBdr>
        <w:top w:val="none" w:sz="0" w:space="0" w:color="auto"/>
        <w:left w:val="none" w:sz="0" w:space="0" w:color="auto"/>
        <w:bottom w:val="none" w:sz="0" w:space="0" w:color="auto"/>
        <w:right w:val="none" w:sz="0" w:space="0" w:color="auto"/>
      </w:divBdr>
    </w:div>
    <w:div w:id="1864443190">
      <w:bodyDiv w:val="1"/>
      <w:marLeft w:val="0"/>
      <w:marRight w:val="0"/>
      <w:marTop w:val="0"/>
      <w:marBottom w:val="0"/>
      <w:divBdr>
        <w:top w:val="none" w:sz="0" w:space="0" w:color="auto"/>
        <w:left w:val="none" w:sz="0" w:space="0" w:color="auto"/>
        <w:bottom w:val="none" w:sz="0" w:space="0" w:color="auto"/>
        <w:right w:val="none" w:sz="0" w:space="0" w:color="auto"/>
      </w:divBdr>
    </w:div>
    <w:div w:id="2093427678">
      <w:bodyDiv w:val="1"/>
      <w:marLeft w:val="0"/>
      <w:marRight w:val="0"/>
      <w:marTop w:val="0"/>
      <w:marBottom w:val="0"/>
      <w:divBdr>
        <w:top w:val="none" w:sz="0" w:space="0" w:color="auto"/>
        <w:left w:val="none" w:sz="0" w:space="0" w:color="auto"/>
        <w:bottom w:val="none" w:sz="0" w:space="0" w:color="auto"/>
        <w:right w:val="none" w:sz="0" w:space="0" w:color="auto"/>
      </w:divBdr>
    </w:div>
    <w:div w:id="212568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hyperlink" Target="https://doi.org/10.24114/esjpgsd.v15i3.65516"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jurnal.unimed.ac.id/2012/index.php/elementary/article/view/"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doi.org/10.24114/esjpgsd.v11i4.30027" TargetMode="External"/><Relationship Id="rId1" Type="http://schemas.openxmlformats.org/officeDocument/2006/relationships/hyperlink" Target="https://jurnal.unimed.ac.id/2012/index.php/elementary/article/view/"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Series 1</c:v>
                </c:pt>
              </c:strCache>
            </c:strRef>
          </c:tx>
          <c:spPr>
            <a:solidFill>
              <a:srgbClr val="006666"/>
            </a:solidFill>
            <a:ln>
              <a:noFill/>
            </a:ln>
            <a:effectLst/>
          </c:spPr>
          <c:invertIfNegative val="0"/>
          <c:cat>
            <c:strRef>
              <c:f>Sheet1!$A$2:$A$9</c:f>
              <c:strCache>
                <c:ptCount val="8"/>
                <c:pt idx="0">
                  <c:v>Peningkatan Keterampilan Mengajar</c:v>
                </c:pt>
                <c:pt idx="1">
                  <c:v>Hasil Belajar Siswa</c:v>
                </c:pt>
                <c:pt idx="2">
                  <c:v>Efektivitas dalam Meningkatkan Refleksi</c:v>
                </c:pt>
                <c:pt idx="3">
                  <c:v>Keterlibatan Siswa</c:v>
                </c:pt>
                <c:pt idx="4">
                  <c:v>Kesesuaian dengan Tujuan Pembelajaran</c:v>
                </c:pt>
                <c:pt idx="5">
                  <c:v>Keberhasilan Implementasi</c:v>
                </c:pt>
                <c:pt idx="6">
                  <c:v>Keseuaian dengan Kurikulum</c:v>
                </c:pt>
                <c:pt idx="7">
                  <c:v>Inovasi dan Kreativitas dalam Pembelajaran</c:v>
                </c:pt>
              </c:strCache>
            </c:strRef>
          </c:cat>
          <c:val>
            <c:numRef>
              <c:f>Sheet1!$B$2:$B$9</c:f>
              <c:numCache>
                <c:formatCode>General</c:formatCode>
                <c:ptCount val="8"/>
                <c:pt idx="0">
                  <c:v>5</c:v>
                </c:pt>
                <c:pt idx="1">
                  <c:v>4</c:v>
                </c:pt>
                <c:pt idx="2">
                  <c:v>5</c:v>
                </c:pt>
                <c:pt idx="3">
                  <c:v>5</c:v>
                </c:pt>
                <c:pt idx="4">
                  <c:v>4</c:v>
                </c:pt>
                <c:pt idx="5">
                  <c:v>5</c:v>
                </c:pt>
                <c:pt idx="6">
                  <c:v>4</c:v>
                </c:pt>
                <c:pt idx="7">
                  <c:v>5</c:v>
                </c:pt>
              </c:numCache>
            </c:numRef>
          </c:val>
          <c:extLst xmlns:c16r2="http://schemas.microsoft.com/office/drawing/2015/06/chart">
            <c:ext xmlns:c16="http://schemas.microsoft.com/office/drawing/2014/chart" uri="{C3380CC4-5D6E-409C-BE32-E72D297353CC}">
              <c16:uniqueId val="{00000000-2A47-4906-8DAE-6B54F9383997}"/>
            </c:ext>
          </c:extLst>
        </c:ser>
        <c:dLbls>
          <c:showLegendKey val="0"/>
          <c:showVal val="0"/>
          <c:showCatName val="0"/>
          <c:showSerName val="0"/>
          <c:showPercent val="0"/>
          <c:showBubbleSize val="0"/>
        </c:dLbls>
        <c:gapWidth val="182"/>
        <c:axId val="-634071840"/>
        <c:axId val="-634077824"/>
      </c:barChart>
      <c:catAx>
        <c:axId val="-63407184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4077824"/>
        <c:crosses val="autoZero"/>
        <c:auto val="1"/>
        <c:lblAlgn val="ctr"/>
        <c:lblOffset val="100"/>
        <c:noMultiLvlLbl val="0"/>
      </c:catAx>
      <c:valAx>
        <c:axId val="-63407782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34071840"/>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6666"/>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9E40E-5ACE-45E2-8372-1D463156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Pages>
  <Words>10322</Words>
  <Characters>58839</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69023</CharactersWithSpaces>
  <SharedDoc>false</SharedDoc>
  <HLinks>
    <vt:vector size="36" baseType="variant">
      <vt:variant>
        <vt:i4>2818174</vt:i4>
      </vt:variant>
      <vt:variant>
        <vt:i4>3</vt:i4>
      </vt:variant>
      <vt:variant>
        <vt:i4>0</vt:i4>
      </vt:variant>
      <vt:variant>
        <vt:i4>5</vt:i4>
      </vt:variant>
      <vt:variant>
        <vt:lpwstr>https://www.microsoft.com/en-us/research/project/academic/</vt:lpwstr>
      </vt:variant>
      <vt:variant>
        <vt:lpwstr/>
      </vt:variant>
      <vt:variant>
        <vt:i4>2883710</vt:i4>
      </vt:variant>
      <vt:variant>
        <vt:i4>0</vt:i4>
      </vt:variant>
      <vt:variant>
        <vt:i4>0</vt:i4>
      </vt:variant>
      <vt:variant>
        <vt:i4>5</vt:i4>
      </vt:variant>
      <vt:variant>
        <vt:lpwstr>http://www.mendeley.com/download-mendeley-desktop/</vt:lpwstr>
      </vt:variant>
      <vt:variant>
        <vt:lpwstr/>
      </vt:variant>
      <vt:variant>
        <vt:i4>4259930</vt:i4>
      </vt:variant>
      <vt:variant>
        <vt:i4>9</vt:i4>
      </vt:variant>
      <vt:variant>
        <vt:i4>0</vt:i4>
      </vt:variant>
      <vt:variant>
        <vt:i4>5</vt:i4>
      </vt:variant>
      <vt:variant>
        <vt:lpwstr>https://doi.org/10.24114/esjpgsd.v11i4.30027</vt:lpwstr>
      </vt:variant>
      <vt:variant>
        <vt:lpwstr/>
      </vt:variant>
      <vt:variant>
        <vt:i4>6881378</vt:i4>
      </vt:variant>
      <vt:variant>
        <vt:i4>6</vt:i4>
      </vt:variant>
      <vt:variant>
        <vt:i4>0</vt:i4>
      </vt:variant>
      <vt:variant>
        <vt:i4>5</vt:i4>
      </vt:variant>
      <vt:variant>
        <vt:lpwstr>https://jurnal.unimed.ac.id/2012/index.php/elementary/article/view/</vt:lpwstr>
      </vt:variant>
      <vt:variant>
        <vt:lpwstr/>
      </vt:variant>
      <vt:variant>
        <vt:i4>6881333</vt:i4>
      </vt:variant>
      <vt:variant>
        <vt:i4>3</vt:i4>
      </vt:variant>
      <vt:variant>
        <vt:i4>0</vt:i4>
      </vt:variant>
      <vt:variant>
        <vt:i4>5</vt:i4>
      </vt:variant>
      <vt:variant>
        <vt:lpwstr>https://jurnal.unimed.ac.id/2012/index.php/elementary/article/view/XXXX</vt:lpwstr>
      </vt:variant>
      <vt:variant>
        <vt:lpwstr/>
      </vt:variant>
      <vt:variant>
        <vt:i4>4259930</vt:i4>
      </vt:variant>
      <vt:variant>
        <vt:i4>0</vt:i4>
      </vt:variant>
      <vt:variant>
        <vt:i4>0</vt:i4>
      </vt:variant>
      <vt:variant>
        <vt:i4>5</vt:i4>
      </vt:variant>
      <vt:variant>
        <vt:lpwstr>https://doi.org/10.24114/esjpgsd.v11i4.30027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05592</dc:creator>
  <cp:keywords/>
  <cp:lastModifiedBy>ASUS</cp:lastModifiedBy>
  <cp:revision>25</cp:revision>
  <dcterms:created xsi:type="dcterms:W3CDTF">2024-10-26T07:08:00Z</dcterms:created>
  <dcterms:modified xsi:type="dcterms:W3CDTF">2025-07-08T04:51:00Z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302b2a85-d940-3996-b685-665955df939e</vt:lpwstr>
  </property>
  <property fmtid="{D5CDD505-2E9C-101B-9397-08002B2CF9AE}" pid="24" name="Mendeley Citation Style_1">
    <vt:lpwstr>http://www.zotero.org/styles/apa</vt:lpwstr>
  </property>
</Properties>
</file>