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ayout w:type="fixed"/>
        <w:tblLook w:val="0400"/>
      </w:tblPr>
      <w:tblGrid>
        <w:gridCol w:w="284"/>
        <w:gridCol w:w="7654"/>
        <w:gridCol w:w="1134"/>
      </w:tblGrid>
      <w:tr w:rsidR="00A561F0" w:rsidTr="007B081B">
        <w:tc>
          <w:tcPr>
            <w:tcW w:w="284" w:type="dxa"/>
            <w:tcBorders>
              <w:top w:val="single" w:sz="4" w:space="0" w:color="000000"/>
              <w:bottom w:val="single" w:sz="4" w:space="0" w:color="000000"/>
            </w:tcBorders>
            <w:shd w:val="clear" w:color="auto" w:fill="auto"/>
          </w:tcPr>
          <w:p w:rsidR="00A561F0" w:rsidRDefault="00A561F0" w:rsidP="007B081B">
            <w:pPr>
              <w:pBdr>
                <w:top w:val="nil"/>
                <w:left w:val="nil"/>
                <w:bottom w:val="nil"/>
                <w:right w:val="nil"/>
                <w:between w:val="nil"/>
              </w:pBdr>
              <w:spacing w:after="280" w:line="276" w:lineRule="auto"/>
              <w:rPr>
                <w:rFonts w:ascii="Cambria" w:eastAsia="Cambria" w:hAnsi="Cambria" w:cs="Cambria"/>
                <w:b/>
                <w:color w:val="000000"/>
                <w:sz w:val="20"/>
                <w:szCs w:val="20"/>
              </w:rPr>
            </w:pPr>
          </w:p>
          <w:p w:rsidR="00A561F0" w:rsidRDefault="00A561F0" w:rsidP="007B081B">
            <w:pPr>
              <w:ind w:hanging="57"/>
              <w:rPr>
                <w:rFonts w:ascii="Cambria" w:eastAsia="Cambria" w:hAnsi="Cambria" w:cs="Cambria"/>
              </w:rPr>
            </w:pPr>
          </w:p>
          <w:p w:rsidR="00A561F0" w:rsidRDefault="00A561F0" w:rsidP="007B081B">
            <w:pPr>
              <w:spacing w:before="280"/>
              <w:ind w:hanging="57"/>
              <w:rPr>
                <w:rFonts w:ascii="Cambria" w:eastAsia="Cambria" w:hAnsi="Cambria" w:cs="Cambria"/>
              </w:rPr>
            </w:pPr>
          </w:p>
        </w:tc>
        <w:tc>
          <w:tcPr>
            <w:tcW w:w="7654" w:type="dxa"/>
            <w:tcBorders>
              <w:top w:val="single" w:sz="4" w:space="0" w:color="000000"/>
              <w:bottom w:val="single" w:sz="4" w:space="0" w:color="000000"/>
            </w:tcBorders>
            <w:shd w:val="clear" w:color="auto" w:fill="auto"/>
          </w:tcPr>
          <w:p w:rsidR="00A561F0" w:rsidRDefault="00A561F0" w:rsidP="001E319A">
            <w:pPr>
              <w:spacing w:after="0"/>
              <w:ind w:hanging="57"/>
              <w:jc w:val="center"/>
              <w:rPr>
                <w:rFonts w:ascii="Cambria" w:eastAsia="Cambria" w:hAnsi="Cambria" w:cs="Cambria"/>
                <w:color w:val="111111"/>
                <w:sz w:val="18"/>
                <w:szCs w:val="18"/>
              </w:rPr>
            </w:pPr>
            <w:r>
              <w:rPr>
                <w:rFonts w:ascii="Cambria" w:eastAsia="Cambria" w:hAnsi="Cambria" w:cs="Cambria"/>
                <w:color w:val="111111"/>
                <w:sz w:val="18"/>
                <w:szCs w:val="18"/>
              </w:rPr>
              <w:t>HEXAGONE: Jurnal Pendidikan, Linguistik, Budaya dan Sastra Perancis, x(x) (xxxx): x-xx</w:t>
            </w:r>
          </w:p>
          <w:p w:rsidR="00A561F0" w:rsidRDefault="00A561F0" w:rsidP="001E319A">
            <w:pPr>
              <w:spacing w:after="0"/>
              <w:ind w:hanging="57"/>
              <w:jc w:val="center"/>
              <w:rPr>
                <w:rFonts w:ascii="Cambria" w:eastAsia="Cambria" w:hAnsi="Cambria" w:cs="Cambria"/>
                <w:color w:val="111111"/>
                <w:sz w:val="38"/>
                <w:szCs w:val="38"/>
              </w:rPr>
            </w:pPr>
            <w:r>
              <w:rPr>
                <w:rFonts w:ascii="Cambria" w:eastAsia="Cambria" w:hAnsi="Cambria" w:cs="Cambria"/>
                <w:color w:val="111111"/>
                <w:sz w:val="38"/>
                <w:szCs w:val="38"/>
              </w:rPr>
              <w:t>HEXAGONE: Jurnal Pendidikan, Linguistik, Budaya dan Sastra Perancis</w:t>
            </w:r>
          </w:p>
          <w:p w:rsidR="00A561F0" w:rsidRDefault="00A561F0" w:rsidP="00A561F0">
            <w:pPr>
              <w:spacing w:after="0" w:line="288" w:lineRule="auto"/>
              <w:jc w:val="center"/>
              <w:rPr>
                <w:rFonts w:ascii="Cambria" w:eastAsia="Cambria" w:hAnsi="Cambria" w:cs="Cambria"/>
                <w:i/>
                <w:color w:val="000000"/>
                <w:sz w:val="18"/>
                <w:szCs w:val="18"/>
              </w:rPr>
            </w:pPr>
            <w:r>
              <w:rPr>
                <w:rFonts w:ascii="Cambria" w:eastAsia="Cambria" w:hAnsi="Cambria" w:cs="Cambria"/>
                <w:i/>
                <w:color w:val="111111"/>
                <w:sz w:val="18"/>
                <w:szCs w:val="18"/>
              </w:rPr>
              <w:t>Available online https://jurnal.unimed.ac.id/2012/index.php/hexagone/index</w:t>
            </w:r>
          </w:p>
        </w:tc>
        <w:tc>
          <w:tcPr>
            <w:tcW w:w="1134" w:type="dxa"/>
            <w:tcBorders>
              <w:top w:val="single" w:sz="4" w:space="0" w:color="000000"/>
              <w:bottom w:val="single" w:sz="4" w:space="0" w:color="000000"/>
            </w:tcBorders>
            <w:shd w:val="clear" w:color="auto" w:fill="auto"/>
            <w:vAlign w:val="center"/>
          </w:tcPr>
          <w:p w:rsidR="00A561F0" w:rsidRPr="00895114" w:rsidRDefault="00A561F0" w:rsidP="007B081B">
            <w:pPr>
              <w:pBdr>
                <w:top w:val="nil"/>
                <w:left w:val="nil"/>
                <w:bottom w:val="nil"/>
                <w:right w:val="nil"/>
                <w:between w:val="nil"/>
              </w:pBdr>
              <w:spacing w:after="0" w:line="276" w:lineRule="auto"/>
              <w:rPr>
                <w:rFonts w:ascii="Cambria" w:eastAsia="Cambria" w:hAnsi="Cambria" w:cs="Cambria"/>
                <w:color w:val="000000"/>
                <w:sz w:val="18"/>
                <w:szCs w:val="18"/>
              </w:rPr>
            </w:pPr>
          </w:p>
        </w:tc>
      </w:tr>
    </w:tbl>
    <w:p w:rsidR="00A561F0" w:rsidRDefault="00A561F0" w:rsidP="002A4A9B">
      <w:pPr>
        <w:spacing w:after="0" w:line="240" w:lineRule="auto"/>
        <w:jc w:val="center"/>
        <w:rPr>
          <w:rFonts w:ascii="Book Antiqua" w:hAnsi="Book Antiqua" w:cs="Times New Roman"/>
          <w:b/>
          <w:bCs/>
        </w:rPr>
      </w:pPr>
    </w:p>
    <w:p w:rsidR="00E7608D" w:rsidRPr="00C77EFD" w:rsidRDefault="00CF1F2F" w:rsidP="002A4A9B">
      <w:pPr>
        <w:spacing w:after="0" w:line="240" w:lineRule="auto"/>
        <w:jc w:val="center"/>
        <w:rPr>
          <w:rFonts w:ascii="Book Antiqua" w:hAnsi="Book Antiqua" w:cs="Times New Roman"/>
          <w:b/>
          <w:bCs/>
        </w:rPr>
      </w:pPr>
      <w:r w:rsidRPr="00C86D25">
        <w:rPr>
          <w:rFonts w:ascii="Book Antiqua" w:hAnsi="Book Antiqua" w:cs="Times New Roman"/>
          <w:b/>
          <w:bCs/>
        </w:rPr>
        <w:t>ALPHABÉTISATION NUMÉRIQUE DES ÉTUDIANTS DE DERNIÈRE ANNÉE DU PROGRAMME D’ÉTUDES EN ENS</w:t>
      </w:r>
      <w:r>
        <w:rPr>
          <w:rFonts w:ascii="Book Antiqua" w:hAnsi="Book Antiqua" w:cs="Times New Roman"/>
          <w:b/>
          <w:bCs/>
        </w:rPr>
        <w:t xml:space="preserve">EIGNEMENT DES LANGUES FRANÇAIS </w:t>
      </w:r>
      <w:r w:rsidRPr="00C86D25">
        <w:rPr>
          <w:rFonts w:ascii="Book Antiqua" w:hAnsi="Book Antiqua" w:cs="Times New Roman"/>
          <w:b/>
          <w:bCs/>
        </w:rPr>
        <w:t>UNIVERSITÉ D’ÉTAT DE JAKARTA</w:t>
      </w:r>
    </w:p>
    <w:p w:rsidR="00E7608D" w:rsidRPr="00C77EFD" w:rsidRDefault="00E7608D" w:rsidP="002A4A9B">
      <w:pPr>
        <w:spacing w:after="0" w:line="240" w:lineRule="auto"/>
        <w:jc w:val="center"/>
        <w:rPr>
          <w:rFonts w:ascii="Book Antiqua" w:hAnsi="Book Antiqua" w:cs="Times New Roman"/>
          <w:b/>
          <w:bCs/>
        </w:rPr>
      </w:pPr>
    </w:p>
    <w:p w:rsidR="00E7608D" w:rsidRPr="00C77EFD" w:rsidRDefault="00E7608D" w:rsidP="002A4A9B">
      <w:pPr>
        <w:spacing w:after="0" w:line="240" w:lineRule="auto"/>
        <w:jc w:val="center"/>
        <w:rPr>
          <w:rFonts w:ascii="Book Antiqua" w:eastAsia="Times New Roman" w:hAnsi="Book Antiqua" w:cs="Times New Roman"/>
          <w:b/>
          <w:bCs/>
          <w:i/>
        </w:rPr>
      </w:pPr>
      <w:r w:rsidRPr="00C77EFD">
        <w:rPr>
          <w:rFonts w:ascii="Book Antiqua" w:eastAsia="Times New Roman" w:hAnsi="Book Antiqua" w:cs="Times New Roman"/>
          <w:b/>
          <w:bCs/>
          <w:i/>
        </w:rPr>
        <w:t>Digital Literacy of Final Year Student of Department of French Education of Universitas Negeri Jakarta.</w:t>
      </w:r>
    </w:p>
    <w:p w:rsidR="00E7608D" w:rsidRPr="00C77EFD" w:rsidRDefault="00E7608D" w:rsidP="002A4A9B">
      <w:pPr>
        <w:spacing w:after="0" w:line="240" w:lineRule="auto"/>
        <w:jc w:val="center"/>
        <w:rPr>
          <w:rFonts w:ascii="Book Antiqua" w:eastAsia="Times New Roman" w:hAnsi="Book Antiqua" w:cs="Times New Roman"/>
          <w:iCs/>
        </w:rPr>
      </w:pPr>
    </w:p>
    <w:p w:rsidR="00E7608D" w:rsidRPr="00F328C2" w:rsidRDefault="00E7608D" w:rsidP="002A4A9B">
      <w:pPr>
        <w:pStyle w:val="Default"/>
        <w:jc w:val="center"/>
        <w:rPr>
          <w:rFonts w:ascii="Book Antiqua" w:hAnsi="Book Antiqua" w:cs="Wingdings"/>
          <w:sz w:val="22"/>
          <w:szCs w:val="22"/>
          <w:lang w:val="id-ID"/>
        </w:rPr>
      </w:pPr>
      <w:r w:rsidRPr="00F328C2">
        <w:rPr>
          <w:rFonts w:ascii="Book Antiqua" w:eastAsia="Times New Roman" w:hAnsi="Book Antiqua"/>
          <w:iCs/>
          <w:color w:val="auto"/>
          <w:sz w:val="22"/>
          <w:szCs w:val="22"/>
          <w:lang w:val="id-ID"/>
        </w:rPr>
        <w:t>Syafa Zanuba Anjani</w:t>
      </w:r>
      <w:r w:rsidRPr="00F328C2">
        <w:rPr>
          <w:rFonts w:ascii="Book Antiqua" w:eastAsia="Times New Roman" w:hAnsi="Book Antiqua"/>
          <w:iCs/>
          <w:color w:val="auto"/>
          <w:sz w:val="22"/>
          <w:szCs w:val="22"/>
          <w:vertAlign w:val="superscript"/>
          <w:lang w:val="id-ID"/>
        </w:rPr>
        <w:t>1</w:t>
      </w:r>
      <w:r w:rsidR="00A561F0" w:rsidRPr="00F328C2">
        <w:rPr>
          <w:rFonts w:ascii="Book Antiqua" w:eastAsia="Times New Roman" w:hAnsi="Book Antiqua"/>
          <w:iCs/>
          <w:color w:val="auto"/>
          <w:sz w:val="22"/>
          <w:szCs w:val="22"/>
          <w:vertAlign w:val="superscript"/>
          <w:lang w:val="id-ID"/>
        </w:rPr>
        <w:t>)</w:t>
      </w:r>
      <w:r w:rsidR="00E67397" w:rsidRPr="00F328C2">
        <w:rPr>
          <w:rFonts w:ascii="Book Antiqua" w:hAnsi="Book Antiqua" w:cs="Wingdings"/>
          <w:sz w:val="22"/>
          <w:szCs w:val="22"/>
          <w:lang w:val="id-ID"/>
        </w:rPr>
        <w:t>*</w:t>
      </w:r>
      <w:r w:rsidR="005F6D0A" w:rsidRPr="00F328C2">
        <w:rPr>
          <w:rFonts w:ascii="Book Antiqua" w:eastAsia="Times New Roman" w:hAnsi="Book Antiqua"/>
          <w:iCs/>
          <w:color w:val="auto"/>
          <w:sz w:val="22"/>
          <w:szCs w:val="22"/>
          <w:lang w:val="id-ID"/>
        </w:rPr>
        <w:t>,</w:t>
      </w:r>
      <w:r w:rsidRPr="00F328C2">
        <w:rPr>
          <w:rFonts w:ascii="Book Antiqua" w:hAnsi="Book Antiqua"/>
          <w:iCs/>
          <w:color w:val="auto"/>
          <w:sz w:val="22"/>
          <w:szCs w:val="22"/>
          <w:lang w:val="id-ID"/>
        </w:rPr>
        <w:t>Sri Harini Ekowati</w:t>
      </w:r>
      <w:r w:rsidR="005160E0" w:rsidRPr="00F328C2">
        <w:rPr>
          <w:rFonts w:ascii="Book Antiqua" w:hAnsi="Book Antiqua"/>
          <w:iCs/>
          <w:color w:val="auto"/>
          <w:sz w:val="22"/>
          <w:szCs w:val="22"/>
          <w:vertAlign w:val="superscript"/>
          <w:lang w:val="id-ID"/>
        </w:rPr>
        <w:t>2</w:t>
      </w:r>
      <w:r w:rsidR="000F4FE7" w:rsidRPr="00F328C2">
        <w:rPr>
          <w:rFonts w:ascii="Book Antiqua" w:hAnsi="Book Antiqua"/>
          <w:iCs/>
          <w:color w:val="auto"/>
          <w:sz w:val="22"/>
          <w:szCs w:val="22"/>
          <w:vertAlign w:val="superscript"/>
          <w:lang w:val="id-ID"/>
        </w:rPr>
        <w:t>)</w:t>
      </w:r>
      <w:r w:rsidRPr="00F328C2">
        <w:rPr>
          <w:rFonts w:ascii="Book Antiqua" w:hAnsi="Book Antiqua"/>
          <w:iCs/>
          <w:color w:val="auto"/>
          <w:sz w:val="22"/>
          <w:szCs w:val="22"/>
          <w:lang w:val="id-ID"/>
        </w:rPr>
        <w:t>, Wahyu Tri Widyastuti</w:t>
      </w:r>
      <w:r w:rsidR="005160E0" w:rsidRPr="00F328C2">
        <w:rPr>
          <w:rFonts w:ascii="Book Antiqua" w:hAnsi="Book Antiqua"/>
          <w:iCs/>
          <w:color w:val="auto"/>
          <w:sz w:val="22"/>
          <w:szCs w:val="22"/>
          <w:vertAlign w:val="superscript"/>
          <w:lang w:val="id-ID"/>
        </w:rPr>
        <w:t>3</w:t>
      </w:r>
      <w:r w:rsidR="000F4FE7" w:rsidRPr="00F328C2">
        <w:rPr>
          <w:rFonts w:ascii="Book Antiqua" w:hAnsi="Book Antiqua"/>
          <w:iCs/>
          <w:color w:val="auto"/>
          <w:sz w:val="22"/>
          <w:szCs w:val="22"/>
          <w:vertAlign w:val="superscript"/>
          <w:lang w:val="id-ID"/>
        </w:rPr>
        <w:t>)</w:t>
      </w:r>
    </w:p>
    <w:p w:rsidR="00E7608D" w:rsidRPr="00C77EFD" w:rsidRDefault="00E7608D" w:rsidP="002A4A9B">
      <w:pPr>
        <w:pStyle w:val="Default"/>
        <w:rPr>
          <w:rFonts w:ascii="Book Antiqua" w:hAnsi="Book Antiqua"/>
          <w:sz w:val="22"/>
          <w:szCs w:val="22"/>
          <w:lang w:val="id-ID"/>
        </w:rPr>
      </w:pPr>
    </w:p>
    <w:p w:rsidR="00E7608D" w:rsidRPr="00C77EFD" w:rsidRDefault="00E7608D" w:rsidP="002A4A9B">
      <w:pPr>
        <w:spacing w:after="0" w:line="240" w:lineRule="auto"/>
        <w:jc w:val="center"/>
        <w:rPr>
          <w:rFonts w:ascii="Book Antiqua" w:hAnsi="Book Antiqua"/>
        </w:rPr>
      </w:pPr>
      <w:r w:rsidRPr="00C77EFD">
        <w:rPr>
          <w:rFonts w:ascii="Book Antiqua" w:hAnsi="Book Antiqua"/>
          <w:vertAlign w:val="superscript"/>
        </w:rPr>
        <w:t>1</w:t>
      </w:r>
      <w:r w:rsidR="005160E0" w:rsidRPr="00C77EFD">
        <w:rPr>
          <w:rFonts w:ascii="Book Antiqua" w:hAnsi="Book Antiqua"/>
          <w:vertAlign w:val="superscript"/>
        </w:rPr>
        <w:t>,2,3</w:t>
      </w:r>
      <w:r w:rsidR="00295820" w:rsidRPr="00C77EFD">
        <w:rPr>
          <w:rFonts w:ascii="Book Antiqua" w:hAnsi="Book Antiqua"/>
          <w:vertAlign w:val="superscript"/>
        </w:rPr>
        <w:t>)</w:t>
      </w:r>
      <w:r w:rsidR="00CF1F2F" w:rsidRPr="00CF1F2F">
        <w:t xml:space="preserve"> </w:t>
      </w:r>
      <w:r w:rsidR="00CF1F2F" w:rsidRPr="00CF1F2F">
        <w:rPr>
          <w:rFonts w:ascii="Book Antiqua" w:hAnsi="Book Antiqua"/>
        </w:rPr>
        <w:t>Programme d’enseignement des langues Français, Uni</w:t>
      </w:r>
      <w:r w:rsidR="00CF1F2F">
        <w:rPr>
          <w:rFonts w:ascii="Book Antiqua" w:hAnsi="Book Antiqua"/>
        </w:rPr>
        <w:t>versité d’État de Jakarta, Rue</w:t>
      </w:r>
      <w:r w:rsidR="00CF1F2F" w:rsidRPr="00CF1F2F">
        <w:rPr>
          <w:rFonts w:ascii="Book Antiqua" w:hAnsi="Book Antiqua"/>
        </w:rPr>
        <w:t xml:space="preserve"> </w:t>
      </w:r>
      <w:r w:rsidRPr="00C77EFD">
        <w:rPr>
          <w:rFonts w:ascii="Book Antiqua" w:hAnsi="Book Antiqua"/>
        </w:rPr>
        <w:t>Rawamangun Muka, Rawamangun, Pulo Gadung, Jakarta Timur, DKI Jakarta 13220, Indonesia</w:t>
      </w:r>
    </w:p>
    <w:p w:rsidR="000F4FE7" w:rsidRPr="00C77EFD" w:rsidRDefault="000F4FE7" w:rsidP="002A4A9B">
      <w:pPr>
        <w:spacing w:after="0" w:line="240" w:lineRule="auto"/>
        <w:jc w:val="center"/>
        <w:rPr>
          <w:rFonts w:ascii="Book Antiqua" w:hAnsi="Book Antiqua"/>
        </w:rPr>
      </w:pPr>
    </w:p>
    <w:p w:rsidR="000F4FE7" w:rsidRPr="00C77EFD" w:rsidRDefault="000F4FE7" w:rsidP="000F4FE7">
      <w:pPr>
        <w:spacing w:after="0" w:line="240" w:lineRule="auto"/>
        <w:jc w:val="center"/>
        <w:rPr>
          <w:rFonts w:ascii="Book Antiqua" w:hAnsi="Book Antiqua" w:cs="Times New Roman"/>
          <w:iCs/>
          <w:vertAlign w:val="superscript"/>
        </w:rPr>
      </w:pPr>
      <w:r w:rsidRPr="00C77EFD">
        <w:rPr>
          <w:rFonts w:ascii="Book Antiqua" w:hAnsi="Book Antiqua" w:cs="Wingdings"/>
          <w:vertAlign w:val="superscript"/>
          <w:lang w:val="fr-FR"/>
        </w:rPr>
        <w:t>*</w:t>
      </w:r>
      <w:r w:rsidR="00F328C2">
        <w:rPr>
          <w:rFonts w:ascii="Book Antiqua" w:hAnsi="Book Antiqua" w:cs="Times New Roman"/>
          <w:i/>
          <w:iCs/>
          <w:lang w:val="fr-FR"/>
        </w:rPr>
        <w:t>E-mail</w:t>
      </w:r>
      <w:r w:rsidRPr="00C77EFD">
        <w:rPr>
          <w:rFonts w:ascii="Book Antiqua" w:hAnsi="Book Antiqua" w:cs="Times New Roman"/>
        </w:rPr>
        <w:t xml:space="preserve"> : syafaznb@gmail.com</w:t>
      </w:r>
    </w:p>
    <w:p w:rsidR="00E7608D" w:rsidRPr="00C77EFD" w:rsidRDefault="00BA25E8" w:rsidP="00BA25E8">
      <w:pPr>
        <w:tabs>
          <w:tab w:val="left" w:pos="1605"/>
          <w:tab w:val="center" w:pos="4513"/>
        </w:tabs>
        <w:spacing w:after="0" w:line="240" w:lineRule="auto"/>
        <w:rPr>
          <w:rFonts w:ascii="Book Antiqua" w:hAnsi="Book Antiqua"/>
        </w:rPr>
      </w:pPr>
      <w:r>
        <w:rPr>
          <w:rFonts w:ascii="Book Antiqua" w:hAnsi="Book Antiqua"/>
        </w:rPr>
        <w:tab/>
      </w:r>
      <w:r>
        <w:rPr>
          <w:rFonts w:ascii="Book Antiqua" w:hAnsi="Book Antiqua"/>
        </w:rPr>
        <w:tab/>
      </w:r>
      <w:r w:rsidR="00BB2855" w:rsidRPr="00BB2855">
        <w:rPr>
          <w:rFonts w:ascii="Book Antiqua" w:hAnsi="Book Antiqua"/>
          <w:noProof/>
        </w:rPr>
        <w:pict>
          <v:line id="Straight Connector 2" o:spid="_x0000_s2051" style="position:absolute;z-index:251658752;visibility:visible;mso-position-horizontal-relative:text;mso-position-vertical-relative:text;mso-width-relative:margin;mso-height-relative:margin" from="3pt,8.15pt" to="456.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" strokecolor="black [3200]" strokeweight=".5pt">
            <v:stroke joinstyle="miter"/>
          </v:line>
        </w:pict>
      </w:r>
    </w:p>
    <w:p w:rsidR="006A4981" w:rsidRPr="00C77EFD" w:rsidRDefault="00C86D25" w:rsidP="004F7190">
      <w:pPr>
        <w:pStyle w:val="Heading1"/>
        <w:spacing w:line="240" w:lineRule="auto"/>
        <w:jc w:val="center"/>
        <w:rPr>
          <w:rFonts w:ascii="Book Antiqua" w:hAnsi="Book Antiqua"/>
          <w:b/>
          <w:bCs/>
          <w:color w:val="auto"/>
          <w:sz w:val="22"/>
          <w:szCs w:val="22"/>
        </w:rPr>
      </w:pPr>
      <w:r>
        <w:rPr>
          <w:rFonts w:ascii="Book Antiqua" w:hAnsi="Book Antiqua"/>
          <w:b/>
          <w:bCs/>
          <w:color w:val="auto"/>
          <w:sz w:val="22"/>
          <w:szCs w:val="22"/>
        </w:rPr>
        <w:t>Abstrait</w:t>
      </w:r>
    </w:p>
    <w:p w:rsidR="006A4981" w:rsidRPr="00C77EFD" w:rsidRDefault="00C86D25" w:rsidP="004F7190">
      <w:pPr>
        <w:spacing w:after="0" w:line="240" w:lineRule="auto"/>
        <w:ind w:firstLine="720"/>
        <w:jc w:val="both"/>
        <w:rPr>
          <w:rFonts w:ascii="Book Antiqua" w:eastAsia="Times New Roman" w:hAnsi="Book Antiqua" w:cs="Times New Roman"/>
        </w:rPr>
      </w:pPr>
      <w:r w:rsidRPr="00C86D25">
        <w:rPr>
          <w:rFonts w:ascii="Book Antiqua" w:eastAsia="Times New Roman" w:hAnsi="Book Antiqua" w:cs="Times New Roman"/>
        </w:rPr>
        <w:t>Cette étude vise à découvrir comment les compétences en littératie numérique des étudiants de dernière année du programme d’études Français d’éducation aux langues de l’UNJ, en particulier dans l’apprentissage Français des langues. Cette recherche utilise une approche quantitative avec une méthode descriptive. La collecte de données a été effectuée à l’aide de questionnaires compilés à partir d’une synthèse des théories concernant les indicateurs de littératie numérique, à savoir 1) les capacités technologiques, 2) les capacités d’acceptation de l’information, 3) les capacités de production d’information et 4) les capacités d’interaction et de protection de l’environnement numérique. Le questionnaire était sous la forme de 40 déclarations utilisant une échelle de Likert et distribué à 32 répondants, à savoir des étudiants de dernière année de la promotion du programme d’études en éducation linguistique de l’UNJ Français de 2017, 2018 et 2019 via Google Form. Pour tester la validité et la fiabilité de l’instrument, les formules de Cronbach de Pearson Product Moment et Alpha sont utilisées à l’aide de l’application SPSS 26. Les données ont été analysées à l’aide d’une méthode descriptive en pourcentage. Les résultats ont montré que les compétences en littératie numérique des étudiants de dernière année du programme d’études d’enseignement des langues de l’UNJ Français étaient « très bonnes » avec un pourcentage de 85%, avec des détails; 1) Capacité technologique « excellente » de 84 %, 2) capacité d’acceptation de l’information « excellente » de 85 %, 3) capacité de production d’information « excellente » de 84 % et 4) capacité « excellente » d’interaction et de protection de l’environnement numérique de 89 %. On peut donc conclure que la littératie numérique des étudiants de dernière année du programme d’études d’enseignement des langues Français de l’UNJ est très bonne.</w:t>
      </w:r>
      <w:r w:rsidR="006A4981" w:rsidRPr="00C77EFD">
        <w:rPr>
          <w:rFonts w:ascii="Book Antiqua" w:eastAsia="Times New Roman" w:hAnsi="Book Antiqua" w:cs="Times New Roman"/>
        </w:rPr>
        <w:t xml:space="preserve"> </w:t>
      </w:r>
    </w:p>
    <w:p w:rsidR="009433F3" w:rsidRPr="000F1236" w:rsidRDefault="000F1236" w:rsidP="002A4A9B">
      <w:pPr>
        <w:spacing w:before="300" w:line="240" w:lineRule="auto"/>
        <w:jc w:val="both"/>
        <w:rPr>
          <w:rFonts w:ascii="Book Antiqua" w:eastAsia="Times New Roman" w:hAnsi="Book Antiqua" w:cs="Times New Roman"/>
          <w:lang w:val="fr-FR"/>
        </w:rPr>
      </w:pPr>
      <w:r w:rsidRPr="000F1236">
        <w:rPr>
          <w:rFonts w:ascii="Book Antiqua" w:eastAsia="Times New Roman" w:hAnsi="Book Antiqua" w:cs="Times New Roman"/>
          <w:b/>
          <w:bCs/>
        </w:rPr>
        <w:t>Mots-clés : Littératie numérique, Étudiant de dernière année, Français</w:t>
      </w:r>
    </w:p>
    <w:p w:rsidR="006A4981" w:rsidRPr="00C77EFD" w:rsidRDefault="006A4981" w:rsidP="004F7190">
      <w:pPr>
        <w:pStyle w:val="Heading1"/>
        <w:spacing w:line="240" w:lineRule="auto"/>
        <w:jc w:val="center"/>
        <w:rPr>
          <w:rFonts w:ascii="Book Antiqua" w:eastAsia="Times New Roman" w:hAnsi="Book Antiqua"/>
          <w:b/>
          <w:bCs/>
          <w:color w:val="auto"/>
          <w:sz w:val="22"/>
          <w:szCs w:val="22"/>
        </w:rPr>
      </w:pPr>
      <w:r w:rsidRPr="00C77EFD">
        <w:rPr>
          <w:rFonts w:ascii="Book Antiqua" w:eastAsia="Times New Roman" w:hAnsi="Book Antiqua"/>
          <w:b/>
          <w:bCs/>
          <w:color w:val="auto"/>
          <w:sz w:val="22"/>
          <w:szCs w:val="22"/>
        </w:rPr>
        <w:lastRenderedPageBreak/>
        <w:t>Abstract</w:t>
      </w:r>
    </w:p>
    <w:p w:rsidR="009433F3" w:rsidRPr="00C77EFD" w:rsidRDefault="006A4981" w:rsidP="002A4A9B">
      <w:pPr>
        <w:spacing w:after="0" w:line="240" w:lineRule="auto"/>
        <w:ind w:firstLine="720"/>
        <w:jc w:val="both"/>
        <w:rPr>
          <w:rFonts w:ascii="Book Antiqua" w:eastAsia="Times New Roman" w:hAnsi="Book Antiqua" w:cs="Times New Roman"/>
        </w:rPr>
      </w:pPr>
      <w:r w:rsidRPr="00C77EFD">
        <w:rPr>
          <w:rFonts w:ascii="Book Antiqua" w:eastAsia="Times New Roman" w:hAnsi="Book Antiqua" w:cs="Times New Roman"/>
        </w:rPr>
        <w:t xml:space="preserve">This study aims to determine how is the digital literacy competency of final year students of Department of French Education of </w:t>
      </w:r>
      <w:r w:rsidR="008E0457" w:rsidRPr="00C77EFD">
        <w:rPr>
          <w:rFonts w:ascii="Book Antiqua" w:eastAsia="Times New Roman" w:hAnsi="Book Antiqua" w:cs="Times New Roman"/>
          <w:lang w:val="en-US"/>
        </w:rPr>
        <w:t>UNJ</w:t>
      </w:r>
      <w:r w:rsidRPr="00C77EFD">
        <w:rPr>
          <w:rFonts w:ascii="Book Antiqua" w:eastAsia="Times New Roman" w:hAnsi="Book Antiqua" w:cs="Times New Roman"/>
        </w:rPr>
        <w:t xml:space="preserve">, especially in French language learning.This research uses a quantitative approach with a descriptivemethod. Data collection was conducted using a questionnaire that was structured based on a synthesis of theories regarding digital literacy indicators, namely 1) Technological Competency, 2) Information Reception Competency, 3) Information Production Competency, and 4) Interaction and Protection in the Digital Environment Competency. The questionnaire is consisted of 40 statements using Likert scale and distributed to 32 respondents, namely </w:t>
      </w:r>
      <w:r w:rsidRPr="00C77EFD">
        <w:rPr>
          <w:rFonts w:ascii="Book Antiqua" w:eastAsia="Times New Roman" w:hAnsi="Book Antiqua" w:cs="Times New Roman"/>
          <w:iCs/>
        </w:rPr>
        <w:t>final year student year 2017, 2018, and 2019 through Google Form.</w:t>
      </w:r>
      <w:r w:rsidR="008E0457" w:rsidRPr="00C77EFD">
        <w:rPr>
          <w:rFonts w:ascii="Book Antiqua" w:eastAsia="Times New Roman" w:hAnsi="Book Antiqua" w:cs="Times New Roman"/>
          <w:lang w:val="en-US"/>
        </w:rPr>
        <w:t>T</w:t>
      </w:r>
      <w:r w:rsidRPr="00C77EFD">
        <w:rPr>
          <w:rFonts w:ascii="Book Antiqua" w:eastAsia="Times New Roman" w:hAnsi="Book Antiqua" w:cs="Times New Roman"/>
        </w:rPr>
        <w:t>he validity and reliability of the instrument</w:t>
      </w:r>
      <w:r w:rsidR="008E0457" w:rsidRPr="00C77EFD">
        <w:rPr>
          <w:rFonts w:ascii="Book Antiqua" w:eastAsia="Times New Roman" w:hAnsi="Book Antiqua" w:cs="Times New Roman"/>
          <w:lang w:val="en-US"/>
        </w:rPr>
        <w:t xml:space="preserve"> tested using</w:t>
      </w:r>
      <w:r w:rsidRPr="00C77EFD">
        <w:rPr>
          <w:rFonts w:ascii="Book Antiqua" w:eastAsia="Times New Roman" w:hAnsi="Book Antiqua" w:cs="Times New Roman"/>
        </w:rPr>
        <w:t xml:space="preserve"> Product Moment formula and Cronbach's Alpha</w:t>
      </w:r>
      <w:r w:rsidR="008E0457" w:rsidRPr="00C77EFD">
        <w:rPr>
          <w:rFonts w:ascii="Book Antiqua" w:eastAsia="Times New Roman" w:hAnsi="Book Antiqua" w:cs="Times New Roman"/>
          <w:lang w:val="en-US"/>
        </w:rPr>
        <w:t xml:space="preserve">. </w:t>
      </w:r>
      <w:r w:rsidRPr="00C77EFD">
        <w:rPr>
          <w:rFonts w:ascii="Book Antiqua" w:eastAsia="Times New Roman" w:hAnsi="Book Antiqua" w:cs="Times New Roman"/>
        </w:rPr>
        <w:t xml:space="preserve">The data were analyzed using the descriptive percentage method. </w:t>
      </w:r>
      <w:r w:rsidR="00A10285" w:rsidRPr="00C77EFD">
        <w:rPr>
          <w:rFonts w:ascii="Book Antiqua" w:eastAsia="Times New Roman" w:hAnsi="Book Antiqua" w:cs="Times New Roman"/>
          <w:lang w:val="en-US"/>
        </w:rPr>
        <w:t>T</w:t>
      </w:r>
      <w:r w:rsidRPr="00C77EFD">
        <w:rPr>
          <w:rFonts w:ascii="Book Antiqua" w:eastAsia="Times New Roman" w:hAnsi="Book Antiqua" w:cs="Times New Roman"/>
        </w:rPr>
        <w:t xml:space="preserve">he results showed that </w:t>
      </w:r>
      <w:r w:rsidR="00A10285" w:rsidRPr="00C77EFD">
        <w:rPr>
          <w:rFonts w:ascii="Book Antiqua" w:eastAsia="Times New Roman" w:hAnsi="Book Antiqua" w:cs="Times New Roman"/>
          <w:lang w:val="en-US"/>
        </w:rPr>
        <w:t xml:space="preserve">the students </w:t>
      </w:r>
      <w:r w:rsidRPr="00C77EFD">
        <w:rPr>
          <w:rFonts w:ascii="Book Antiqua" w:eastAsia="Times New Roman" w:hAnsi="Book Antiqua" w:cs="Times New Roman"/>
        </w:rPr>
        <w:t xml:space="preserve">digital literacy competency </w:t>
      </w:r>
      <w:r w:rsidR="00A10285" w:rsidRPr="00C77EFD">
        <w:rPr>
          <w:rFonts w:ascii="Book Antiqua" w:eastAsia="Times New Roman" w:hAnsi="Book Antiqua" w:cs="Times New Roman"/>
        </w:rPr>
        <w:t>was</w:t>
      </w:r>
      <w:r w:rsidRPr="00C77EFD">
        <w:rPr>
          <w:rFonts w:ascii="Book Antiqua" w:eastAsia="Times New Roman" w:hAnsi="Book Antiqua" w:cs="Times New Roman"/>
        </w:rPr>
        <w:t xml:space="preserve"> "Very Good" with percentage of 85%, with details; 1)Technological Competency "Very Good" </w:t>
      </w:r>
      <w:r w:rsidR="00A10285" w:rsidRPr="00C77EFD">
        <w:rPr>
          <w:rFonts w:ascii="Book Antiqua" w:eastAsia="Times New Roman" w:hAnsi="Book Antiqua" w:cs="Times New Roman"/>
          <w:lang w:val="en-US"/>
        </w:rPr>
        <w:t>(</w:t>
      </w:r>
      <w:r w:rsidRPr="00C77EFD">
        <w:rPr>
          <w:rFonts w:ascii="Book Antiqua" w:eastAsia="Times New Roman" w:hAnsi="Book Antiqua" w:cs="Times New Roman"/>
        </w:rPr>
        <w:t>84%</w:t>
      </w:r>
      <w:r w:rsidR="00A10285" w:rsidRPr="00C77EFD">
        <w:rPr>
          <w:rFonts w:ascii="Book Antiqua" w:eastAsia="Times New Roman" w:hAnsi="Book Antiqua" w:cs="Times New Roman"/>
          <w:lang w:val="en-US"/>
        </w:rPr>
        <w:t>)</w:t>
      </w:r>
      <w:r w:rsidRPr="00C77EFD">
        <w:rPr>
          <w:rFonts w:ascii="Book Antiqua" w:eastAsia="Times New Roman" w:hAnsi="Book Antiqua" w:cs="Times New Roman"/>
        </w:rPr>
        <w:t>, 2)Information Reception Competency "Very Good"</w:t>
      </w:r>
      <w:r w:rsidR="00A10285" w:rsidRPr="00C77EFD">
        <w:rPr>
          <w:rFonts w:ascii="Book Antiqua" w:eastAsia="Times New Roman" w:hAnsi="Book Antiqua" w:cs="Times New Roman"/>
          <w:lang w:val="en-US"/>
        </w:rPr>
        <w:t xml:space="preserve"> (</w:t>
      </w:r>
      <w:r w:rsidRPr="00C77EFD">
        <w:rPr>
          <w:rFonts w:ascii="Book Antiqua" w:eastAsia="Times New Roman" w:hAnsi="Book Antiqua" w:cs="Times New Roman"/>
        </w:rPr>
        <w:t>84%</w:t>
      </w:r>
      <w:r w:rsidR="00A10285" w:rsidRPr="00C77EFD">
        <w:rPr>
          <w:rFonts w:ascii="Book Antiqua" w:eastAsia="Times New Roman" w:hAnsi="Book Antiqua" w:cs="Times New Roman"/>
          <w:lang w:val="en-US"/>
        </w:rPr>
        <w:t>)</w:t>
      </w:r>
      <w:r w:rsidRPr="00C77EFD">
        <w:rPr>
          <w:rFonts w:ascii="Book Antiqua" w:eastAsia="Times New Roman" w:hAnsi="Book Antiqua" w:cs="Times New Roman"/>
        </w:rPr>
        <w:t xml:space="preserve">, 3)Information Production Competency "Very Good" </w:t>
      </w:r>
      <w:r w:rsidR="00F76BC1" w:rsidRPr="00C77EFD">
        <w:rPr>
          <w:rFonts w:ascii="Book Antiqua" w:eastAsia="Times New Roman" w:hAnsi="Book Antiqua" w:cs="Times New Roman"/>
          <w:lang w:val="en-US"/>
        </w:rPr>
        <w:t>(</w:t>
      </w:r>
      <w:r w:rsidRPr="00C77EFD">
        <w:rPr>
          <w:rFonts w:ascii="Book Antiqua" w:eastAsia="Times New Roman" w:hAnsi="Book Antiqua" w:cs="Times New Roman"/>
        </w:rPr>
        <w:t>84%</w:t>
      </w:r>
      <w:r w:rsidR="00F76BC1" w:rsidRPr="00C77EFD">
        <w:rPr>
          <w:rFonts w:ascii="Book Antiqua" w:eastAsia="Times New Roman" w:hAnsi="Book Antiqua" w:cs="Times New Roman"/>
          <w:lang w:val="en-US"/>
        </w:rPr>
        <w:t>)</w:t>
      </w:r>
      <w:r w:rsidRPr="00C77EFD">
        <w:rPr>
          <w:rFonts w:ascii="Book Antiqua" w:eastAsia="Times New Roman" w:hAnsi="Book Antiqua" w:cs="Times New Roman"/>
        </w:rPr>
        <w:t>, and 4)Interaction and Protection in the Digital Environment Competency "Very Good"</w:t>
      </w:r>
      <w:r w:rsidR="00F76BC1" w:rsidRPr="00C77EFD">
        <w:rPr>
          <w:rFonts w:ascii="Book Antiqua" w:eastAsia="Times New Roman" w:hAnsi="Book Antiqua" w:cs="Times New Roman"/>
          <w:lang w:val="en-US"/>
        </w:rPr>
        <w:t xml:space="preserve"> (</w:t>
      </w:r>
      <w:r w:rsidRPr="00C77EFD">
        <w:rPr>
          <w:rFonts w:ascii="Book Antiqua" w:eastAsia="Times New Roman" w:hAnsi="Book Antiqua" w:cs="Times New Roman"/>
        </w:rPr>
        <w:t>89%</w:t>
      </w:r>
      <w:r w:rsidR="00F76BC1" w:rsidRPr="00C77EFD">
        <w:rPr>
          <w:rFonts w:ascii="Book Antiqua" w:eastAsia="Times New Roman" w:hAnsi="Book Antiqua" w:cs="Times New Roman"/>
          <w:lang w:val="en-US"/>
        </w:rPr>
        <w:t>)</w:t>
      </w:r>
      <w:r w:rsidRPr="00C77EFD">
        <w:rPr>
          <w:rFonts w:ascii="Book Antiqua" w:eastAsia="Times New Roman" w:hAnsi="Book Antiqua" w:cs="Times New Roman"/>
        </w:rPr>
        <w:t>. Thus, it can be concluded that the digital literacy of final year students of the French education department of UNJ is very good.</w:t>
      </w:r>
    </w:p>
    <w:p w:rsidR="00C73166" w:rsidRDefault="009433F3" w:rsidP="00C73166">
      <w:pPr>
        <w:spacing w:before="300" w:line="240" w:lineRule="auto"/>
        <w:jc w:val="both"/>
        <w:rPr>
          <w:rFonts w:ascii="Book Antiqua" w:eastAsia="Cambria" w:hAnsi="Book Antiqua" w:cs="Cambria"/>
          <w:color w:val="000000"/>
          <w:lang w:val="en-ID"/>
        </w:rPr>
      </w:pPr>
      <w:r w:rsidRPr="00C77EFD">
        <w:rPr>
          <w:rFonts w:ascii="Book Antiqua" w:eastAsia="Times New Roman" w:hAnsi="Book Antiqua" w:cs="Times New Roman"/>
          <w:b/>
          <w:bCs/>
        </w:rPr>
        <w:t>Keywords:</w:t>
      </w:r>
      <w:r w:rsidRPr="00C77EFD">
        <w:rPr>
          <w:rFonts w:ascii="Book Antiqua" w:eastAsia="Times New Roman" w:hAnsi="Book Antiqua" w:cs="Times New Roman"/>
        </w:rPr>
        <w:t xml:space="preserve"> Digital Literacy, Final Year Students</w:t>
      </w:r>
      <w:r w:rsidR="00C73166" w:rsidRPr="00C77EFD">
        <w:rPr>
          <w:rFonts w:ascii="Book Antiqua" w:eastAsia="Times New Roman" w:hAnsi="Book Antiqua" w:cs="Times New Roman"/>
          <w:lang w:val="en-US"/>
        </w:rPr>
        <w:t>, French Language</w:t>
      </w:r>
    </w:p>
    <w:p w:rsidR="00BA25E8" w:rsidRDefault="00BA25E8" w:rsidP="00B50973">
      <w:pPr>
        <w:pStyle w:val="NormalWeb"/>
        <w:spacing w:before="240" w:beforeAutospacing="0" w:after="0" w:afterAutospacing="0"/>
        <w:ind w:right="-57"/>
        <w:jc w:val="both"/>
        <w:rPr>
          <w:rFonts w:ascii="Book Antiqua" w:hAnsi="Book Antiqua"/>
          <w:i/>
          <w:iCs/>
          <w:sz w:val="20"/>
          <w:szCs w:val="20"/>
        </w:rPr>
      </w:pPr>
      <w:r w:rsidRPr="00BA25E8">
        <w:rPr>
          <w:rFonts w:ascii="Book Antiqua" w:hAnsi="Book Antiqua"/>
          <w:b/>
          <w:bCs/>
          <w:color w:val="000000"/>
          <w:sz w:val="20"/>
          <w:szCs w:val="20"/>
        </w:rPr>
        <w:t>How to Cite:</w:t>
      </w:r>
      <w:r w:rsidRPr="00BA25E8">
        <w:rPr>
          <w:rFonts w:ascii="Book Antiqua" w:hAnsi="Book Antiqua"/>
          <w:i/>
          <w:iCs/>
          <w:color w:val="000000"/>
          <w:sz w:val="20"/>
          <w:szCs w:val="20"/>
        </w:rPr>
        <w:t xml:space="preserve">Anjani, S.Z. Ekowati, S.H. </w:t>
      </w:r>
      <w:r>
        <w:rPr>
          <w:rFonts w:ascii="Book Antiqua" w:hAnsi="Book Antiqua"/>
          <w:i/>
          <w:iCs/>
          <w:color w:val="000000"/>
          <w:sz w:val="20"/>
          <w:szCs w:val="20"/>
        </w:rPr>
        <w:t>&amp;</w:t>
      </w:r>
      <w:r w:rsidRPr="00BA25E8">
        <w:rPr>
          <w:rFonts w:ascii="Book Antiqua" w:hAnsi="Book Antiqua"/>
          <w:i/>
          <w:iCs/>
          <w:color w:val="000000"/>
          <w:sz w:val="20"/>
          <w:szCs w:val="20"/>
        </w:rPr>
        <w:t>Widyastuti,W.T. (2022).</w:t>
      </w:r>
      <w:r w:rsidRPr="00BA25E8">
        <w:rPr>
          <w:rFonts w:ascii="Book Antiqua" w:hAnsi="Book Antiqua"/>
          <w:color w:val="000000"/>
          <w:sz w:val="20"/>
          <w:szCs w:val="20"/>
        </w:rPr>
        <w:t xml:space="preserve"> Literasi Digital Maha</w:t>
      </w:r>
      <w:r>
        <w:rPr>
          <w:rFonts w:ascii="Book Antiqua" w:hAnsi="Book Antiqua"/>
          <w:color w:val="000000"/>
          <w:sz w:val="20"/>
          <w:szCs w:val="20"/>
        </w:rPr>
        <w:t>s</w:t>
      </w:r>
      <w:r w:rsidRPr="00BA25E8">
        <w:rPr>
          <w:rFonts w:ascii="Book Antiqua" w:hAnsi="Book Antiqua"/>
          <w:color w:val="000000"/>
          <w:sz w:val="20"/>
          <w:szCs w:val="20"/>
        </w:rPr>
        <w:t xml:space="preserve">iswa Tingkat Akhir Program Studi Pendidikan Bahasa Prancis Universitas Negeri Jakarta. </w:t>
      </w:r>
      <w:r w:rsidRPr="00BA25E8">
        <w:rPr>
          <w:rFonts w:ascii="Book Antiqua" w:hAnsi="Book Antiqua"/>
          <w:color w:val="111111"/>
          <w:sz w:val="20"/>
          <w:szCs w:val="20"/>
        </w:rPr>
        <w:t>HEXAGONE: Jurnal Pendidikan, Linguistik, Budaya dan Sastra Perancis</w:t>
      </w:r>
      <w:r w:rsidRPr="00BA25E8">
        <w:rPr>
          <w:rFonts w:ascii="Book Antiqua" w:hAnsi="Book Antiqua"/>
          <w:i/>
          <w:iCs/>
          <w:color w:val="111111"/>
          <w:sz w:val="20"/>
          <w:szCs w:val="20"/>
        </w:rPr>
        <w:t>, x(x) (xxxx): x-xx.</w:t>
      </w:r>
    </w:p>
    <w:p w:rsidR="00BA25E8" w:rsidRDefault="00BA25E8" w:rsidP="00F328C2">
      <w:pPr>
        <w:pStyle w:val="NormalWeb"/>
        <w:spacing w:before="0" w:beforeAutospacing="0" w:after="240" w:afterAutospacing="0"/>
        <w:ind w:right="-57"/>
        <w:jc w:val="both"/>
        <w:rPr>
          <w:rFonts w:ascii="Book Antiqua" w:hAnsi="Book Antiqua"/>
          <w:i/>
          <w:iCs/>
          <w:sz w:val="20"/>
          <w:szCs w:val="20"/>
        </w:rPr>
      </w:pPr>
    </w:p>
    <w:p w:rsidR="00BA25E8" w:rsidRPr="00BA25E8" w:rsidRDefault="00BB2855" w:rsidP="00BA25E8">
      <w:pPr>
        <w:pStyle w:val="NormalWeb"/>
        <w:spacing w:before="0" w:beforeAutospacing="0" w:after="0" w:afterAutospacing="0"/>
        <w:ind w:right="-57"/>
        <w:jc w:val="both"/>
        <w:rPr>
          <w:rFonts w:ascii="Book Antiqua" w:hAnsi="Book Antiqua"/>
          <w:sz w:val="20"/>
          <w:szCs w:val="20"/>
        </w:rPr>
        <w:sectPr w:rsidR="00BA25E8" w:rsidRPr="00BA25E8" w:rsidSect="00CE7903">
          <w:headerReference w:type="even" r:id="rId8"/>
          <w:headerReference w:type="default" r:id="rId9"/>
          <w:footerReference w:type="even" r:id="rId10"/>
          <w:footerReference w:type="default" r:id="rId11"/>
          <w:footerReference w:type="first" r:id="rId12"/>
          <w:type w:val="continuous"/>
          <w:pgSz w:w="11906" w:h="16838" w:code="9"/>
          <w:pgMar w:top="1440" w:right="1440" w:bottom="1440" w:left="1440" w:header="709" w:footer="709" w:gutter="0"/>
          <w:cols w:space="708"/>
          <w:titlePg/>
          <w:docGrid w:linePitch="360"/>
        </w:sectPr>
      </w:pPr>
      <w:r w:rsidRPr="00BB2855">
        <w:rPr>
          <w:rFonts w:ascii="Book Antiqua" w:hAnsi="Book Antiqua"/>
          <w:noProof/>
          <w:sz w:val="22"/>
          <w:szCs w:val="22"/>
        </w:rPr>
        <w:pict>
          <v:line id="Straight Connector 8" o:spid="_x0000_s2050" style="position:absolute;left:0;text-align:left;z-index:251662336;visibility:visible;mso-width-relative:margin;mso-height-relative:margin" from="0,-12.45pt" to="453.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" strokecolor="black [3200]" strokeweight=".5pt">
            <v:stroke joinstyle="miter"/>
          </v:line>
        </w:pict>
      </w:r>
    </w:p>
    <w:p w:rsidR="00A109A3" w:rsidRPr="00C77EFD" w:rsidRDefault="008D6667" w:rsidP="00F328C2">
      <w:pPr>
        <w:pStyle w:val="Heading1"/>
        <w:spacing w:before="0" w:line="240" w:lineRule="auto"/>
        <w:rPr>
          <w:rFonts w:ascii="Book Antiqua" w:hAnsi="Book Antiqua"/>
          <w:b/>
          <w:bCs/>
          <w:color w:val="auto"/>
          <w:sz w:val="22"/>
          <w:szCs w:val="22"/>
        </w:rPr>
      </w:pPr>
      <w:r>
        <w:rPr>
          <w:rFonts w:ascii="Book Antiqua" w:hAnsi="Book Antiqua"/>
          <w:b/>
          <w:bCs/>
          <w:color w:val="auto"/>
          <w:sz w:val="22"/>
          <w:szCs w:val="22"/>
        </w:rPr>
        <w:lastRenderedPageBreak/>
        <w:t>INTRODUCTION</w:t>
      </w:r>
    </w:p>
    <w:p w:rsidR="008D6667" w:rsidRPr="008D6667" w:rsidRDefault="008D6667" w:rsidP="008D6667">
      <w:pPr>
        <w:spacing w:after="0" w:line="240" w:lineRule="auto"/>
        <w:ind w:firstLine="720"/>
        <w:jc w:val="both"/>
        <w:rPr>
          <w:rFonts w:ascii="Book Antiqua" w:hAnsi="Book Antiqua" w:cs="Times New Roman"/>
        </w:rPr>
      </w:pPr>
      <w:r w:rsidRPr="008D6667">
        <w:rPr>
          <w:rFonts w:ascii="Book Antiqua" w:hAnsi="Book Antiqua" w:cs="Times New Roman"/>
        </w:rPr>
        <w:t xml:space="preserve">En tant qu’établissement d’enseignement supérieur, les universités sont tenues d’avoir une qualité d’apprentissage adéquate. Dans l’enseignement supérieur, le cœur de toutes les activités est l’apprentissage avec les enseignants et les étudiants qui sont les principaux éléments des activités d’apprentissage (Shoffa et al., 2021). En outre, la disponibilité d’installations adéquates est le principal point de la mise en œuvre de l’apprentissage. L’apprentissage en ligne a été mis en œuvre lors de l’émergence de Covid-19 en tant que pandémie. Tous les niveaux d’enseignement, y compris les universités, organisent des cours dans le réseau en utilisant des installations qui s’adaptent progressivement aux besoins d’apprentissage au fil du temps. Shoffa et al (2021) ont expliqué que, pour parvenir au transfert de connaissances à l’ère numérique comme aujourd’hui, des supports d’apprentissage flexibles mais </w:t>
      </w:r>
      <w:r w:rsidRPr="008D6667">
        <w:rPr>
          <w:rFonts w:ascii="Book Antiqua" w:hAnsi="Book Antiqua" w:cs="Times New Roman"/>
        </w:rPr>
        <w:lastRenderedPageBreak/>
        <w:t xml:space="preserve">efficaces doivent être utilisés afin d’atteindre les objectifs d’apprentissage. Grâce à des médias éducatifs appropriés, numériques ou non, il peut être utilisé comme un moyen d’échange d’idées et de connaissances. </w:t>
      </w:r>
    </w:p>
    <w:p w:rsidR="008D6667" w:rsidRPr="008D6667" w:rsidRDefault="008D6667" w:rsidP="008D6667">
      <w:pPr>
        <w:spacing w:after="0" w:line="240" w:lineRule="auto"/>
        <w:ind w:firstLine="720"/>
        <w:jc w:val="both"/>
        <w:rPr>
          <w:rFonts w:ascii="Book Antiqua" w:hAnsi="Book Antiqua" w:cs="Times New Roman"/>
        </w:rPr>
      </w:pPr>
      <w:r w:rsidRPr="008D6667">
        <w:rPr>
          <w:rFonts w:ascii="Book Antiqua" w:hAnsi="Book Antiqua" w:cs="Times New Roman"/>
        </w:rPr>
        <w:t xml:space="preserve">Avec l’évolution numérique de longue date et le développement du concept d’alphabétisation, la littératie numérique est devenue l’une des compétences émergentes, puis </w:t>
      </w:r>
    </w:p>
    <w:p w:rsidR="008D6667" w:rsidRPr="008D6667" w:rsidRDefault="008D6667" w:rsidP="008D6667">
      <w:pPr>
        <w:spacing w:after="0" w:line="240" w:lineRule="auto"/>
        <w:ind w:firstLine="720"/>
        <w:jc w:val="both"/>
        <w:rPr>
          <w:rFonts w:ascii="Book Antiqua" w:hAnsi="Book Antiqua" w:cs="Times New Roman"/>
        </w:rPr>
      </w:pPr>
      <w:r w:rsidRPr="008D6667">
        <w:rPr>
          <w:rFonts w:ascii="Book Antiqua" w:hAnsi="Book Antiqua" w:cs="Times New Roman"/>
        </w:rPr>
        <w:t>devenir une compétence que les professeurs et les étudiants doivent développer. Gilster (dans Ollivier, 2018) postule que la littératie numérique est la capacité de créer un sens à partir de la lecture, de la compréhension et de la pensée critique qui permet à une personne de porter des jugements basés sur les informations qu’elle trouve en ligne. Dans sa demande, Lacelle et al (2022) mentionnent qu’avec l’arrivée du numérique, le concept d’alphabétisation a changé de sens pour devenir une nouvelle façon d’accéder au savoir.</w:t>
      </w:r>
    </w:p>
    <w:p w:rsidR="005A1018" w:rsidRPr="00C77EFD" w:rsidRDefault="008D6667" w:rsidP="008D6667">
      <w:pPr>
        <w:spacing w:after="0" w:line="240" w:lineRule="auto"/>
        <w:ind w:firstLine="720"/>
        <w:jc w:val="both"/>
        <w:rPr>
          <w:rFonts w:ascii="Book Antiqua" w:hAnsi="Book Antiqua" w:cs="Times New Roman"/>
        </w:rPr>
      </w:pPr>
      <w:r w:rsidRPr="008D6667">
        <w:rPr>
          <w:rFonts w:ascii="Book Antiqua" w:hAnsi="Book Antiqua" w:cs="Times New Roman"/>
        </w:rPr>
        <w:lastRenderedPageBreak/>
        <w:t>Les objectifs de la littératie numérique peuvent illustrer l’importance du rôle de la littératie numérique dans le soutien de l’apprentissage. Zielke (2017) affirme que la littératie numérique devrait être enseignée aux apprenants dans le but de les préparer à réussir dans un monde qui évolue rapidement et qui est façonné par les progrès technologiques. Sulianta (2020) a déclaré que la littératie numérique peut modifier les habitudes de consommation d’un individu envers l’information en faveur d’individus plus actifs dans la production d’information. On peut dire que le but de la littératie numérique est de former et de préparer les individus à faire face activement au monde numérique en croissance rapide afin d’éviter l’impact négatif du monde numérique.</w:t>
      </w:r>
    </w:p>
    <w:p w:rsidR="001A48C6" w:rsidRPr="001A48C6" w:rsidRDefault="001A48C6" w:rsidP="001A48C6">
      <w:pPr>
        <w:spacing w:after="0" w:line="240" w:lineRule="auto"/>
        <w:ind w:firstLine="576"/>
        <w:jc w:val="both"/>
        <w:rPr>
          <w:rFonts w:ascii="Book Antiqua" w:hAnsi="Book Antiqua" w:cs="Times New Roman"/>
        </w:rPr>
      </w:pPr>
      <w:r w:rsidRPr="001A48C6">
        <w:rPr>
          <w:rFonts w:ascii="Book Antiqua" w:hAnsi="Book Antiqua" w:cs="Times New Roman"/>
        </w:rPr>
        <w:t xml:space="preserve">Dans leurs recherches, Wicahyani et coll. (2021) ont conclu que plus le niveau de littératie numérique est élevé, plus les élèves ont un effet positif sur les résultats d’apprentissage et la réussite scolaire des élèves. Une autre recherche sur la littératie numérique dans l’apprentissage a été menée par Abrosimova (2020). Abrosimova (2020) a conclu que les élèves sont prêts et capables de faire face à la numérisation de l’éducation, à en juger par leur volonté de surmonter les obstacles rencontrés liés à leur apprentissage et à leur développement de manière indépendante. Cependant, on peut également voir qu’il existe une tendance à des problèmes évidents, à savoir une réduction de la motivation d’apprentissage des élèves, des habitudes de procrastination et la non-utilisation des compétences de pensée critique. Selon lui, le choix d’une forme d’apprentissage adaptée aujourd’hui est l’apprentissage mixte. (Abrosimova,2020). </w:t>
      </w:r>
    </w:p>
    <w:p w:rsidR="001A48C6" w:rsidRPr="001A48C6" w:rsidRDefault="001A48C6" w:rsidP="001A48C6">
      <w:pPr>
        <w:spacing w:after="0" w:line="240" w:lineRule="auto"/>
        <w:ind w:firstLine="576"/>
        <w:jc w:val="both"/>
        <w:rPr>
          <w:rFonts w:ascii="Book Antiqua" w:hAnsi="Book Antiqua" w:cs="Times New Roman"/>
        </w:rPr>
      </w:pPr>
      <w:r w:rsidRPr="001A48C6">
        <w:rPr>
          <w:rFonts w:ascii="Book Antiqua" w:hAnsi="Book Antiqua" w:cs="Times New Roman"/>
        </w:rPr>
        <w:t xml:space="preserve">D’autre part, la pratique de la littératie numérique a des répercussions négatives sur les élèves. Les exemples sont la présence de fausses informations, le plagiat, les dommages à l’appareil, la paresse et la diminution de l’enthousiasme pour la pensée. La capacité </w:t>
      </w:r>
      <w:r w:rsidRPr="001A48C6">
        <w:rPr>
          <w:rFonts w:ascii="Book Antiqua" w:hAnsi="Book Antiqua" w:cs="Times New Roman"/>
        </w:rPr>
        <w:lastRenderedPageBreak/>
        <w:t>de trier et de se comporter en fonction de ce qui est nécessaire et obtenu pour les cours doit être renforcée, car apprendre une langue à l’ère de la révolution numérique comme celle-ci signifie réfléchir activement à l’écosystème numérique où les étudiants interagissent afin d’éviter les impacts négatifs à l’ère actuelle de la numérisation (Combe, 2021).</w:t>
      </w:r>
    </w:p>
    <w:p w:rsidR="009C1138" w:rsidRPr="00C77EFD" w:rsidRDefault="001A48C6" w:rsidP="001A48C6">
      <w:pPr>
        <w:spacing w:after="0" w:line="240" w:lineRule="auto"/>
        <w:ind w:firstLine="576"/>
        <w:jc w:val="both"/>
        <w:rPr>
          <w:rFonts w:ascii="Book Antiqua" w:hAnsi="Book Antiqua" w:cs="Times New Roman"/>
        </w:rPr>
      </w:pPr>
      <w:r w:rsidRPr="001A48C6">
        <w:rPr>
          <w:rFonts w:ascii="Book Antiqua" w:hAnsi="Book Antiqua" w:cs="Times New Roman"/>
        </w:rPr>
        <w:t>À l’Université d’État de Jakarta, la pratique de la littératie numérique est devenue une habitude quotidienne de la technologie indépendante dans le programme d’études en enseignement des langues Français en tant qu’apprenant de langue étrangère. En pratique, les élèves de la promotion de 2017, 2018 et 2019 ont besoin de compétences en littératie numérique dans tous les Français l’apprentissage des langues, allant de l’apprentissage de la langue, de la culture, de la littérature Français, de l’enseignement Français au moment de la compilation d’articles scientifiques. La littératie numérique chez les élèves en langues Français peut également en faire des apprenants indépendants en enrichissant les ressources d’apprentissage des langues pour devenir plus variées. À en juger par cela, il est important pour les élèves en 2017, 2018 et 2019 d’améliorer leurs compétences en littératie numérique dans le but de soutenir l’apprentissage Français des langues. Couplé à la variété de matériaux, de théories, d’informations, de contenus, de tâches numériques et de travaux scientifiques qui doivent être compris et réalisés, c’est une raison forte pour eux d’avoir de bonnes comp</w:t>
      </w:r>
      <w:r>
        <w:rPr>
          <w:rFonts w:ascii="Book Antiqua" w:hAnsi="Book Antiqua" w:cs="Times New Roman"/>
        </w:rPr>
        <w:t>étences en littératie numérique</w:t>
      </w:r>
      <w:r w:rsidR="009B0806" w:rsidRPr="00C77EFD">
        <w:rPr>
          <w:rFonts w:ascii="Book Antiqua" w:hAnsi="Book Antiqua" w:cs="Times New Roman"/>
        </w:rPr>
        <w:t>.</w:t>
      </w:r>
    </w:p>
    <w:p w:rsidR="001A48C6" w:rsidRPr="001A48C6" w:rsidRDefault="001A48C6" w:rsidP="001A48C6">
      <w:pPr>
        <w:spacing w:after="0" w:line="240" w:lineRule="auto"/>
        <w:ind w:firstLine="576"/>
        <w:jc w:val="both"/>
        <w:rPr>
          <w:rFonts w:ascii="Book Antiqua" w:hAnsi="Book Antiqua" w:cs="Times New Roman"/>
        </w:rPr>
      </w:pPr>
      <w:r w:rsidRPr="001A48C6">
        <w:rPr>
          <w:rFonts w:ascii="Book Antiqua" w:hAnsi="Book Antiqua" w:cs="Times New Roman"/>
        </w:rPr>
        <w:t xml:space="preserve">Yin &amp; Vine (2022) affirme que dans le contexte universitaire, les compétences en littératie dans la sphère académique telles que la lecture critique, les compétences de présentation, le tri des types et des disciplines de l’écriture, ainsi que les compétences en rédaction de recherche, on s’attend à ce que les étudiants continuent à les développer. Irhandayaningsih (2020) définit la </w:t>
      </w:r>
      <w:r w:rsidRPr="001A48C6">
        <w:rPr>
          <w:rFonts w:ascii="Book Antiqua" w:hAnsi="Book Antiqua" w:cs="Times New Roman"/>
        </w:rPr>
        <w:lastRenderedPageBreak/>
        <w:t>littératie numérique comme la capacité de lire et d’écrire numériquement à l’aide d’un appareil. Une autre opinion qui correspond au concept de littératie numérique ci-dessus est que la littératie numérique est une combinaison de diverses compétences en littératie, à savoir la maîtrise de l’information, la littératie médiatique, la littératie Internet et la capacité d’utiliser les appareils utilisés, logiciels ou matériels (Yojana, 2022). La définition principale de la littératie numérique fait souvent référence au concept proposé par Gilster qui définit la littératie numérique comme des capacités cognitives telles que la pensée critique pour comprendre et déduire des informations obtenues en ligne (Ollivier, 2018).</w:t>
      </w:r>
    </w:p>
    <w:p w:rsidR="001A48C6" w:rsidRPr="001A48C6" w:rsidRDefault="001A48C6" w:rsidP="001A48C6">
      <w:pPr>
        <w:spacing w:after="0" w:line="240" w:lineRule="auto"/>
        <w:ind w:firstLine="576"/>
        <w:jc w:val="both"/>
        <w:rPr>
          <w:rFonts w:ascii="Book Antiqua" w:hAnsi="Book Antiqua" w:cs="Times New Roman"/>
        </w:rPr>
      </w:pPr>
      <w:r w:rsidRPr="001A48C6">
        <w:rPr>
          <w:rFonts w:ascii="Book Antiqua" w:hAnsi="Book Antiqua" w:cs="Times New Roman"/>
        </w:rPr>
        <w:t>À l’appui du concept de littératie numérique ci-dessus, dans sa recherche, Dalal et al (2020) ont déclaré que les capacités qui doivent exister comme référence dans la réalisation des compétences en littératie numérique, à savoir les capacités techniques et les capacités d’information. À cet égard, Cahyani et coll. (2021) ont mentionné que la littératie numérique fait référence à la capacité de comprendre, d’évaluer et de créer de l’information numériquement en toute conscience.</w:t>
      </w:r>
    </w:p>
    <w:p w:rsidR="00151F6E" w:rsidRPr="00C77EFD" w:rsidRDefault="001A48C6" w:rsidP="001A48C6">
      <w:pPr>
        <w:spacing w:after="0" w:line="240" w:lineRule="auto"/>
        <w:ind w:firstLine="576"/>
        <w:jc w:val="both"/>
        <w:rPr>
          <w:rFonts w:ascii="Book Antiqua" w:hAnsi="Book Antiqua" w:cs="Times New Roman"/>
        </w:rPr>
      </w:pPr>
      <w:r w:rsidRPr="001A48C6">
        <w:rPr>
          <w:rFonts w:ascii="Book Antiqua" w:hAnsi="Book Antiqua" w:cs="Times New Roman"/>
        </w:rPr>
        <w:t>Dans son livre, Ollivier (2018) affirme que la littératie numérique est le résultat de l’interconnexion de trois composantes principales dans un cadre critique et éthique, à savoir la littératie technologique, c’est-à-dire la littératie par interaction, et la littératie par interaction. Le Digital Literacy Activist Network (ci-après abrégé en Japelidi) formule et explique 10 compétences en littératie numérique (Adikara et al., 2021). Les 10 compétences sont les suivantes :1) Accès, 2) Sélection, 3) Compréhension, 4) Analyse, 5) Vérification, 6) Évaluation, 7) Distribution, 8) Production, 9) Participation, 10) Collaboration.</w:t>
      </w:r>
    </w:p>
    <w:p w:rsidR="00071271" w:rsidRPr="00071271" w:rsidRDefault="00151F6E" w:rsidP="00071271">
      <w:pPr>
        <w:spacing w:after="0" w:line="240" w:lineRule="auto"/>
        <w:ind w:firstLine="576"/>
        <w:jc w:val="both"/>
        <w:rPr>
          <w:rFonts w:ascii="Book Antiqua" w:hAnsi="Book Antiqua" w:cs="Times New Roman"/>
          <w:iCs/>
        </w:rPr>
      </w:pPr>
      <w:r w:rsidRPr="00071271">
        <w:rPr>
          <w:rFonts w:ascii="Book Antiqua" w:hAnsi="Book Antiqua" w:cs="Times New Roman"/>
          <w:iCs/>
        </w:rPr>
        <w:t>Ministère de l’éducation Nationale, de la jeun</w:t>
      </w:r>
      <w:r w:rsidR="00071271" w:rsidRPr="00071271">
        <w:rPr>
          <w:rFonts w:ascii="Book Antiqua" w:hAnsi="Book Antiqua" w:cs="Times New Roman"/>
          <w:iCs/>
        </w:rPr>
        <w:t xml:space="preserve">esse et des sports (2019) a développé un référentiel de compétences </w:t>
      </w:r>
      <w:r w:rsidR="00071271" w:rsidRPr="00071271">
        <w:rPr>
          <w:rFonts w:ascii="Book Antiqua" w:hAnsi="Book Antiqua" w:cs="Times New Roman"/>
          <w:iCs/>
        </w:rPr>
        <w:lastRenderedPageBreak/>
        <w:t>numériques appelé cadre de référence des compétences numériques (CRCN) pour mesurer les capacités numériques des apprenants du niveau scolaire à l’enseignement supérieur, à savoir; 1)Compétence en matière d’information et de données, 2) Compétence en matière de communication et de collaboration, 3) Compétence en matière de production de contenu, 4) Compétence en matière de protection et de sécurité, 5) Compétence en environnement numérique. La State Cyber and Password Agency (BSSN) explique de plus en plus 5 capacités de littératie numérique qui incluent en même temps des compétences en cybersécurité (Monggilo et al., 2020), à savoir; 1) Compétence dans la gestion des données et informations numériques. 2) Compétence en communication et collaboration, 3) Compétence en création de contenu, 4) Compétence en matière de confidentialité et de sécurité numériques, 5) Compétence pour agir et participer.</w:t>
      </w:r>
    </w:p>
    <w:p w:rsidR="00BB34C5" w:rsidRPr="00071271" w:rsidRDefault="00071271" w:rsidP="00071271">
      <w:pPr>
        <w:spacing w:after="0" w:line="240" w:lineRule="auto"/>
        <w:ind w:firstLine="576"/>
        <w:jc w:val="both"/>
        <w:rPr>
          <w:rFonts w:ascii="Book Antiqua" w:hAnsi="Book Antiqua" w:cs="Times New Roman"/>
        </w:rPr>
      </w:pPr>
      <w:r w:rsidRPr="00071271">
        <w:rPr>
          <w:rFonts w:ascii="Book Antiqua" w:hAnsi="Book Antiqua" w:cs="Times New Roman"/>
          <w:iCs/>
        </w:rPr>
        <w:t>Lütge (2022) affirme que l’utilisation de l’appareil et des applications qui l’accompagnent fait déjà partie de la vie des apprenants. Abah (2016) dit qu’aujourd’hui, il est impossible de parler d’apprentissage sans utiliser les TIC parce que les TIC offrent de grands avantages pour l’enseignement / l’apprentissage de la Français en tant que langue étrangère et c’est déjà une obligation pour les enseignants de la langue étrangère française (FLE) d’utiliser des médias intéressants et efficaces pour motiver leurs apprenants à acquérir des compétences en communication linguistique, en rendant les leçons plus vivantes et diversifiées. L’utilisation des médias numériques comme moyen d’apprentissage Français est également observée dans la recherche de Kalinić (2021) qui montre que l’utilisation de la technologie et des médias de masse (regarder des films / événements en Français) comme l’une des stratégies d’apprentissage des étudiants</w:t>
      </w:r>
      <w:r w:rsidR="0052292E" w:rsidRPr="00071271">
        <w:rPr>
          <w:rFonts w:ascii="Book Antiqua" w:eastAsia="TimesNewRomanPSMT" w:hAnsi="Book Antiqua" w:cs="Times New Roman"/>
        </w:rPr>
        <w:t>.</w:t>
      </w:r>
    </w:p>
    <w:p w:rsidR="00071271" w:rsidRDefault="00071271" w:rsidP="00071271">
      <w:pPr>
        <w:autoSpaceDE w:val="0"/>
        <w:autoSpaceDN w:val="0"/>
        <w:adjustRightInd w:val="0"/>
        <w:spacing w:after="0" w:line="240" w:lineRule="auto"/>
        <w:ind w:firstLine="720"/>
        <w:jc w:val="both"/>
        <w:rPr>
          <w:rFonts w:ascii="Book Antiqua" w:hAnsi="Book Antiqua" w:cs="Times New Roman"/>
        </w:rPr>
      </w:pPr>
      <w:r w:rsidRPr="00071271">
        <w:rPr>
          <w:rFonts w:ascii="Book Antiqua" w:hAnsi="Book Antiqua" w:cs="Times New Roman"/>
        </w:rPr>
        <w:t xml:space="preserve">Des exemples de pratiques d’alphabétisation numérique dans l’apprentissage des langues Français </w:t>
      </w:r>
      <w:r w:rsidRPr="00071271">
        <w:rPr>
          <w:rFonts w:ascii="Book Antiqua" w:hAnsi="Book Antiqua" w:cs="Times New Roman"/>
        </w:rPr>
        <w:lastRenderedPageBreak/>
        <w:t xml:space="preserve">peuvent être trouvés dans le programme d’études Français d’éducation linguistique de l’UNJ. Divers cours, travaux, rédaction de thèses sont réalisés avec le soutien de la littératie numérique. Par exemple, en réalisant des devoirs vidéo, Lütge (2022) a expliqué que lorsque la littératie numérique est appliquée à la réalisation et à la production de courts métrages, cela signifie que les élèves interprètent les informations obtenues à partir du texte, puis les transfèrent d’une manière différente, à savoir à travers des scènes de la vidéo, en changeant le personnage et / ou la langue. À en juger par la variété des activités d’apprentissage Français ci-dessus, il clarifie davantage l’importance des compétences en littératie numérique des élèves pour faciliter le processus d’apprentissage dans chaque cours. Surtout dans l’apprentissage des étudiants de dernière année qui sont de plus en plus difficiles, spécifiques et diversifiés. Pour cela, les élèves, en particulier au niveau final, sont confrontés au défi d’améliorer les compétences en littératie numérique afin que l’apprentissage des langues Français et la préparation d’articles scientifiques se déroulent bien conformément à leurs objectifs. En voyant l’explication ci-dessus, le but de cette étude est de découvrir comment les compétences en littératie numérique des étudiants de dernière année du programme d’études en éducation linguistique Français, Universitas Negeri Jakarta. </w:t>
      </w:r>
    </w:p>
    <w:p w:rsidR="000F1236" w:rsidRPr="00071271" w:rsidRDefault="000F1236" w:rsidP="00071271">
      <w:pPr>
        <w:autoSpaceDE w:val="0"/>
        <w:autoSpaceDN w:val="0"/>
        <w:adjustRightInd w:val="0"/>
        <w:spacing w:after="0" w:line="240" w:lineRule="auto"/>
        <w:ind w:firstLine="720"/>
        <w:jc w:val="both"/>
        <w:rPr>
          <w:rFonts w:ascii="Book Antiqua" w:hAnsi="Book Antiqua" w:cs="Times New Roman"/>
        </w:rPr>
      </w:pPr>
    </w:p>
    <w:p w:rsidR="00071271" w:rsidRPr="00071271" w:rsidRDefault="00071271" w:rsidP="00071271">
      <w:pPr>
        <w:autoSpaceDE w:val="0"/>
        <w:autoSpaceDN w:val="0"/>
        <w:adjustRightInd w:val="0"/>
        <w:spacing w:after="0" w:line="240" w:lineRule="auto"/>
        <w:jc w:val="both"/>
        <w:rPr>
          <w:rFonts w:ascii="Book Antiqua" w:hAnsi="Book Antiqua" w:cs="Times New Roman"/>
          <w:b/>
        </w:rPr>
      </w:pPr>
      <w:r w:rsidRPr="00071271">
        <w:rPr>
          <w:rFonts w:ascii="Book Antiqua" w:hAnsi="Book Antiqua" w:cs="Times New Roman"/>
          <w:b/>
        </w:rPr>
        <w:t>MÉTHODOLOGIE</w:t>
      </w:r>
    </w:p>
    <w:p w:rsidR="00E65F64" w:rsidRPr="00C77EFD" w:rsidRDefault="00071271" w:rsidP="00071271">
      <w:pPr>
        <w:autoSpaceDE w:val="0"/>
        <w:autoSpaceDN w:val="0"/>
        <w:adjustRightInd w:val="0"/>
        <w:spacing w:after="0" w:line="240" w:lineRule="auto"/>
        <w:ind w:firstLine="720"/>
        <w:jc w:val="both"/>
        <w:rPr>
          <w:rFonts w:ascii="Book Antiqua" w:hAnsi="Book Antiqua" w:cs="Cambria"/>
          <w:color w:val="000000"/>
        </w:rPr>
      </w:pPr>
      <w:r w:rsidRPr="00071271">
        <w:rPr>
          <w:rFonts w:ascii="Book Antiqua" w:hAnsi="Book Antiqua" w:cs="Times New Roman"/>
        </w:rPr>
        <w:t xml:space="preserve">Cette recherche utilise des méthodes quantitatives descriptives. Cette étude a mesuré les variables de la capacité de littératie numérique. L’instrument de recherche est un questionnaire composé de 40 déclarations distribuées aux étudiants de la promotion de 2017, 2018 et 2019 via Google Form. Les répondants à cette étude étaient des étudiants de dernière année du programme d’études Français Language Education, jusqu’à 32 étudiants ayant des techniques </w:t>
      </w:r>
      <w:r w:rsidRPr="00071271">
        <w:rPr>
          <w:rFonts w:ascii="Book Antiqua" w:hAnsi="Book Antiqua" w:cs="Times New Roman"/>
        </w:rPr>
        <w:lastRenderedPageBreak/>
        <w:t>d’échantillonnage téléologique. Le questionnaire utilisé est un type de questionnaire fermé utilisant une échelle de Likert, les étudiants peuvent choisir des réponses en fonction de ce qu’ils font. Les données sont ensuite analysées par des statistiques descriptives en pourcentage. Les techniques d’analyse statistique descriptive sont utilisées parce que les données obtenues à partir de l’échantillon seront décrites au moyen de tableaux, de graphiques ou de diagrammes, dans le but de décrire les données telles qu’elles sont et non en profondeur, et sans intention de généraliser (Sugiyono, 2019). Les résultats de l’analyse des données sont ensuite classés en 5 catégories; 1) Excellent, 2) Bon, 3) Neutre, 4) Pas bon et 5) Pas bon</w:t>
      </w:r>
      <w:r w:rsidR="00E65F64" w:rsidRPr="00C77EFD">
        <w:rPr>
          <w:rFonts w:ascii="Book Antiqua" w:hAnsi="Book Antiqua" w:cs="Cambria"/>
          <w:color w:val="000000"/>
        </w:rPr>
        <w:t>.</w:t>
      </w:r>
    </w:p>
    <w:p w:rsidR="00C03B52" w:rsidRDefault="00C03B52" w:rsidP="00C03B52">
      <w:pPr>
        <w:spacing w:after="0" w:line="240" w:lineRule="auto"/>
        <w:jc w:val="both"/>
        <w:rPr>
          <w:rFonts w:ascii="Book Antiqua" w:eastAsiaTheme="majorEastAsia" w:hAnsi="Book Antiqua" w:cstheme="majorBidi"/>
          <w:b/>
          <w:bCs/>
        </w:rPr>
      </w:pPr>
    </w:p>
    <w:p w:rsidR="00C03B52" w:rsidRDefault="00C03B52" w:rsidP="00C03B52">
      <w:pPr>
        <w:spacing w:after="0" w:line="240" w:lineRule="auto"/>
        <w:jc w:val="both"/>
        <w:rPr>
          <w:rFonts w:ascii="Book Antiqua" w:eastAsiaTheme="majorEastAsia" w:hAnsi="Book Antiqua" w:cstheme="majorBidi"/>
          <w:b/>
          <w:bCs/>
        </w:rPr>
      </w:pPr>
      <w:r w:rsidRPr="00C03B52">
        <w:rPr>
          <w:rFonts w:ascii="Book Antiqua" w:eastAsiaTheme="majorEastAsia" w:hAnsi="Book Antiqua" w:cstheme="majorBidi"/>
          <w:b/>
          <w:bCs/>
        </w:rPr>
        <w:t>RÉSULTATS ET DISCUSSION</w:t>
      </w:r>
    </w:p>
    <w:p w:rsidR="00EB2728" w:rsidRPr="00C77EFD" w:rsidRDefault="00C03B52" w:rsidP="00C03B52">
      <w:pPr>
        <w:spacing w:after="0" w:line="240" w:lineRule="auto"/>
        <w:ind w:firstLine="720"/>
        <w:jc w:val="both"/>
        <w:rPr>
          <w:rFonts w:ascii="Book Antiqua" w:hAnsi="Book Antiqua" w:cs="Times New Roman"/>
        </w:rPr>
      </w:pPr>
      <w:r w:rsidRPr="00C03B52">
        <w:rPr>
          <w:rFonts w:ascii="Book Antiqua" w:hAnsi="Book Antiqua"/>
        </w:rPr>
        <w:t>Cette recherche a été menée sur des étudiants de dernière année du programme d’études en éducation aux langues Français qui donnent des conférences et rédigent actuellement une thèse.  La répartition des répondants était la plus élevée dans la classe d’étudiants de 2019, soit 22 étudiants (68,8 %), suivie de la promotion de 2018 jusqu’à 8 étudiants (25 %), tandis que la moins importante était la classe de 2017, qui était de 2 étudiants (6,3 %). Les compétences en littératie numérique peuvent être vues à partir de quatre indicateurs, tandis que les indicateurs sont; 1) Capacité technologique (X1), 2)Capacité de réception d’informations (X2), 3) Capacité de production d’informations (X3) et 4)Capacité d’interaction et de protection dans un environnement numérique (X4). Les résultats de l’étude sont les suivants :</w:t>
      </w:r>
    </w:p>
    <w:p w:rsidR="00C03B52" w:rsidRDefault="00C03B52" w:rsidP="002E5C53">
      <w:pPr>
        <w:pStyle w:val="Caption"/>
        <w:rPr>
          <w:rFonts w:ascii="Book Antiqua" w:hAnsi="Book Antiqua"/>
          <w:i w:val="0"/>
          <w:iCs w:val="0"/>
          <w:sz w:val="22"/>
          <w:szCs w:val="22"/>
        </w:rPr>
      </w:pPr>
    </w:p>
    <w:p w:rsidR="00EB2728" w:rsidRPr="00C77EFD" w:rsidRDefault="000F1236" w:rsidP="002E5C53">
      <w:pPr>
        <w:pStyle w:val="Caption"/>
        <w:rPr>
          <w:rFonts w:ascii="Book Antiqua" w:hAnsi="Book Antiqua"/>
          <w:sz w:val="22"/>
          <w:szCs w:val="22"/>
        </w:rPr>
      </w:pPr>
      <w:r w:rsidRPr="000F1236">
        <w:rPr>
          <w:rFonts w:ascii="Book Antiqua" w:hAnsi="Book Antiqua"/>
          <w:i w:val="0"/>
          <w:iCs w:val="0"/>
          <w:sz w:val="22"/>
          <w:szCs w:val="22"/>
        </w:rPr>
        <w:lastRenderedPageBreak/>
        <w:t xml:space="preserve">Tableau 1. Résultats des données variables sur la littératie numérique </w:t>
      </w:r>
      <w:r w:rsidR="00E65F64" w:rsidRPr="00C77EFD">
        <w:rPr>
          <w:rFonts w:ascii="Book Antiqua" w:hAnsi="Book Antiqua"/>
          <w:noProof/>
          <w:sz w:val="22"/>
          <w:szCs w:val="22"/>
          <w:lang w:val="en-US"/>
        </w:rPr>
        <w:drawing>
          <wp:inline distT="0" distB="0" distL="0" distR="0">
            <wp:extent cx="2686050" cy="1163955"/>
            <wp:effectExtent l="0" t="0" r="0" b="0"/>
            <wp:docPr id="54" name="Picture 5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Table&#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8524" t="-1734" r="18666" b="14561"/>
                    <a:stretch/>
                  </pic:blipFill>
                  <pic:spPr bwMode="auto">
                    <a:xfrm>
                      <a:off x="0" y="0"/>
                      <a:ext cx="2695298" cy="116796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03B52" w:rsidRPr="00C03B52" w:rsidRDefault="00C03B52" w:rsidP="00C03B52">
      <w:pPr>
        <w:spacing w:after="0" w:line="240" w:lineRule="auto"/>
        <w:ind w:firstLine="720"/>
        <w:jc w:val="both"/>
        <w:rPr>
          <w:rFonts w:ascii="Book Antiqua" w:eastAsia="Times New Roman" w:hAnsi="Book Antiqua" w:cs="Times New Roman"/>
          <w:color w:val="000000"/>
        </w:rPr>
      </w:pPr>
      <w:r w:rsidRPr="00C03B52">
        <w:rPr>
          <w:rFonts w:ascii="Book Antiqua" w:eastAsia="Times New Roman" w:hAnsi="Book Antiqua" w:cs="Times New Roman"/>
          <w:color w:val="000000"/>
        </w:rPr>
        <w:t>D’après le tableau ci-dessus, on peut voir que dans la variable de la littératie numérique, il y a 4 indicateurs, à savoir la capacité technologique (X1), la capacité de réception de l’information (X2), la capacité de production d’information (X3) et la capacité d’interaction et de protection de l’environnement numérique (X4) remplis par 32 répondants. Le score moyen obtenu est de 136,72 avec une moyenne de 4,27 avec un résultat moyen en pourcentage de score de 85%, ce qui peut être interprété comme une excellente catégorie. Le résultat le plus élevé pour l’indicateur de capacité d’interaction et de protection de l’environnement numérique (X2) était de 89 % dans la catégorie excellente, tandis que le résultat le plus faible pour l’indicateur de capacité de production d’informations (X3) était de 84 % dans la catégorie excellent. À partir du calcul de ces données, on peut conclure que les compétences en littératie numérique des étudiants de dernière année du programme d’études d’enseignement des langues Français de l’UNJ sont très bonnes.</w:t>
      </w:r>
    </w:p>
    <w:p w:rsidR="00C03B52" w:rsidRPr="00C03B52" w:rsidRDefault="00C03B52" w:rsidP="00C03B52">
      <w:pPr>
        <w:spacing w:after="0" w:line="240" w:lineRule="auto"/>
        <w:ind w:firstLine="720"/>
        <w:jc w:val="both"/>
        <w:rPr>
          <w:rFonts w:ascii="Book Antiqua" w:eastAsia="Times New Roman" w:hAnsi="Book Antiqua" w:cs="Times New Roman"/>
          <w:color w:val="000000"/>
        </w:rPr>
      </w:pPr>
      <w:r w:rsidRPr="00C03B52">
        <w:rPr>
          <w:rFonts w:ascii="Book Antiqua" w:eastAsia="Times New Roman" w:hAnsi="Book Antiqua" w:cs="Times New Roman"/>
          <w:color w:val="000000"/>
        </w:rPr>
        <w:t xml:space="preserve">Les résultats des données montrent que les excellentes compétences en littératie numérique des étudiants de dernière année sont indissociables des résultats des indicateurs qui montrent également de très bonnes compétences. </w:t>
      </w:r>
    </w:p>
    <w:p w:rsidR="00E65F64" w:rsidRDefault="00C03B52" w:rsidP="00C03B52">
      <w:pPr>
        <w:spacing w:after="0" w:line="240" w:lineRule="auto"/>
        <w:ind w:firstLine="720"/>
        <w:jc w:val="both"/>
        <w:rPr>
          <w:rFonts w:ascii="Book Antiqua" w:eastAsia="Times New Roman" w:hAnsi="Book Antiqua" w:cs="Times New Roman"/>
          <w:color w:val="000000"/>
        </w:rPr>
      </w:pPr>
      <w:r w:rsidRPr="00C03B52">
        <w:rPr>
          <w:rFonts w:ascii="Book Antiqua" w:eastAsia="Times New Roman" w:hAnsi="Book Antiqua" w:cs="Times New Roman"/>
          <w:color w:val="000000"/>
        </w:rPr>
        <w:t xml:space="preserve">Dans le premier indicateur, à savoir les capacités technologiques (X1), il y a 7 éléments de déclaration et remplis par 32 répondants. Le score moyen obtenu est de 134,71 avec une moyenne de 4,2 et le pourcentage de score moyen est de 84%, ce qui peut être interprété comme une </w:t>
      </w:r>
      <w:r w:rsidRPr="00C03B52">
        <w:rPr>
          <w:rFonts w:ascii="Book Antiqua" w:eastAsia="Times New Roman" w:hAnsi="Book Antiqua" w:cs="Times New Roman"/>
          <w:color w:val="000000"/>
        </w:rPr>
        <w:lastRenderedPageBreak/>
        <w:t>excellente catégorie. L’une des capacités technologiques les plus élevées possédées par les étudiants de dernière année du programme d’études d’enseignement des langues de l’UNJ Français est dans l’énoncé numéro 3, à savoir que les étudiants peuvent choisir, utiliser les bons appareils numériques et médias pour les aider à apprendre, avec un pourcentage de score de 89%. Alors que le résultat le plus bas dans l’énoncé numéro 5 est que lorsqu’il y a un problème technique, les étudiants peuvent facilement partager des solutions liées aux interférences avec les appareils ou les médias numériques avec des amis, par 76% avec de bonnes catégories.</w:t>
      </w:r>
      <w:r w:rsidR="00E65F64" w:rsidRPr="00C77EFD">
        <w:rPr>
          <w:rFonts w:ascii="Book Antiqua" w:eastAsia="Times New Roman" w:hAnsi="Book Antiqua" w:cs="Times New Roman"/>
          <w:color w:val="000000"/>
        </w:rPr>
        <w:t>.</w:t>
      </w:r>
    </w:p>
    <w:p w:rsidR="00C77EFD" w:rsidRPr="00C77EFD" w:rsidRDefault="00C77EFD" w:rsidP="00E65F64">
      <w:pPr>
        <w:spacing w:after="0" w:line="240" w:lineRule="auto"/>
        <w:ind w:firstLine="720"/>
        <w:jc w:val="both"/>
        <w:rPr>
          <w:rFonts w:ascii="Book Antiqua" w:eastAsia="Times New Roman" w:hAnsi="Book Antiqua" w:cs="Times New Roman"/>
          <w:color w:val="000000"/>
        </w:rPr>
      </w:pPr>
    </w:p>
    <w:p w:rsidR="00E65F64" w:rsidRPr="00C77EFD" w:rsidRDefault="000F1236" w:rsidP="002E5C53">
      <w:pPr>
        <w:pStyle w:val="Caption"/>
        <w:spacing w:after="0"/>
        <w:rPr>
          <w:rFonts w:ascii="Book Antiqua" w:hAnsi="Book Antiqua"/>
          <w:sz w:val="22"/>
          <w:szCs w:val="22"/>
        </w:rPr>
      </w:pPr>
      <w:r w:rsidRPr="000F1236">
        <w:rPr>
          <w:rFonts w:ascii="Book Antiqua" w:hAnsi="Book Antiqua"/>
          <w:i w:val="0"/>
          <w:iCs w:val="0"/>
          <w:sz w:val="22"/>
          <w:szCs w:val="22"/>
        </w:rPr>
        <w:t xml:space="preserve">Tableau 2. Résultats des données de l’indicateur de capacité technologique </w:t>
      </w:r>
      <w:r w:rsidR="00E65F64" w:rsidRPr="00C77EFD">
        <w:rPr>
          <w:rFonts w:ascii="Book Antiqua" w:hAnsi="Book Antiqua"/>
          <w:noProof/>
          <w:sz w:val="22"/>
          <w:szCs w:val="22"/>
          <w:lang w:val="en-US"/>
        </w:rPr>
        <w:drawing>
          <wp:inline distT="0" distB="0" distL="0" distR="0">
            <wp:extent cx="2657475" cy="1694815"/>
            <wp:effectExtent l="0" t="0" r="952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1593" r="21926" b="11594"/>
                    <a:stretch/>
                  </pic:blipFill>
                  <pic:spPr bwMode="auto">
                    <a:xfrm>
                      <a:off x="0" y="0"/>
                      <a:ext cx="2702210" cy="172334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0F1236" w:rsidRDefault="000F1236" w:rsidP="00EC7651">
      <w:pPr>
        <w:spacing w:after="0" w:line="240" w:lineRule="auto"/>
        <w:jc w:val="both"/>
        <w:rPr>
          <w:rFonts w:ascii="Book Antiqua" w:hAnsi="Book Antiqua"/>
        </w:rPr>
      </w:pPr>
    </w:p>
    <w:p w:rsidR="00EC7651" w:rsidRDefault="00C03B52" w:rsidP="00EC7651">
      <w:pPr>
        <w:spacing w:after="0" w:line="240" w:lineRule="auto"/>
        <w:jc w:val="both"/>
        <w:rPr>
          <w:rFonts w:ascii="Book Antiqua" w:hAnsi="Book Antiqua"/>
        </w:rPr>
      </w:pPr>
      <w:r w:rsidRPr="00C03B52">
        <w:rPr>
          <w:rFonts w:ascii="Book Antiqua" w:hAnsi="Book Antiqua"/>
        </w:rPr>
        <w:t xml:space="preserve">Le deuxième indicateur est la capacité de recevoir des informations (X2), il y a 13 éléments de relevé et sont remplis par 32 répondants. Le score moyen obtenu est de 135,85 avec une moyenne de 4,25 et le pourcentage de score moyen est de 85%, ce qui peut être interprété comme une excellente catégorie. La capacité la plus élevée est dans l’énoncé numéro 18 avec un pourcentage de 91%, c’est-à-dire que les étudiants peuvent télécharger des documents à partir d’Internet (vidéos d’apprentissage, chansons, romans, nouvelles, magazines, articles scientifiques et revues en Français langue). Alors que le résultat le plus bas dans l’énoncé numéro 13 est que les étudiants peuvent traduire des documents authentiques en Français en utilisant la compréhension personnelle </w:t>
      </w:r>
      <w:r w:rsidRPr="00C03B52">
        <w:rPr>
          <w:rFonts w:ascii="Book Antiqua" w:hAnsi="Book Antiqua"/>
        </w:rPr>
        <w:lastRenderedPageBreak/>
        <w:t>et les dictionnaires numériques, par 77% avec de bonnes catégories.</w:t>
      </w:r>
    </w:p>
    <w:p w:rsidR="00C03B52" w:rsidRPr="00C77EFD" w:rsidRDefault="00C03B52" w:rsidP="00EC7651">
      <w:pPr>
        <w:spacing w:after="0" w:line="240" w:lineRule="auto"/>
        <w:jc w:val="both"/>
        <w:rPr>
          <w:rFonts w:ascii="Book Antiqua" w:eastAsia="Times New Roman" w:hAnsi="Book Antiqua" w:cs="Times New Roman"/>
          <w:color w:val="000000"/>
        </w:rPr>
      </w:pPr>
    </w:p>
    <w:p w:rsidR="00E65F64" w:rsidRPr="00C77EFD" w:rsidRDefault="00C03B52" w:rsidP="002E5C53">
      <w:pPr>
        <w:pStyle w:val="Caption"/>
        <w:rPr>
          <w:rFonts w:ascii="Book Antiqua" w:hAnsi="Book Antiqua"/>
          <w:sz w:val="22"/>
          <w:szCs w:val="22"/>
        </w:rPr>
      </w:pPr>
      <w:r w:rsidRPr="00C03B52">
        <w:rPr>
          <w:rFonts w:ascii="Book Antiqua" w:hAnsi="Book Antiqua"/>
          <w:i w:val="0"/>
          <w:iCs w:val="0"/>
          <w:sz w:val="22"/>
          <w:szCs w:val="22"/>
        </w:rPr>
        <w:t>Tableau 3. Résultats des données des indicateurs de capacité d’acceptation de l’informatique</w:t>
      </w:r>
      <w:r w:rsidR="00E65F64" w:rsidRPr="00C77EFD">
        <w:rPr>
          <w:rFonts w:ascii="Book Antiqua" w:hAnsi="Book Antiqua"/>
          <w:noProof/>
          <w:sz w:val="22"/>
          <w:szCs w:val="22"/>
          <w:lang w:val="en-US"/>
        </w:rPr>
        <w:drawing>
          <wp:inline distT="0" distB="0" distL="0" distR="0">
            <wp:extent cx="2647950" cy="2509520"/>
            <wp:effectExtent l="0" t="0" r="0" b="5080"/>
            <wp:docPr id="18" name="Picture 1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10;&#10;Description automatically generated with medium confidence"/>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0753" t="-266" r="20946" b="7505"/>
                    <a:stretch/>
                  </pic:blipFill>
                  <pic:spPr bwMode="auto">
                    <a:xfrm>
                      <a:off x="0" y="0"/>
                      <a:ext cx="2656930" cy="251803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65F64" w:rsidRDefault="00C03B52" w:rsidP="00E65F64">
      <w:pPr>
        <w:spacing w:line="240" w:lineRule="auto"/>
        <w:ind w:firstLine="567"/>
        <w:jc w:val="both"/>
        <w:rPr>
          <w:rFonts w:ascii="Book Antiqua" w:eastAsia="Times New Roman" w:hAnsi="Book Antiqua" w:cs="Times New Roman"/>
          <w:color w:val="000000"/>
        </w:rPr>
      </w:pPr>
      <w:r w:rsidRPr="00C03B52">
        <w:rPr>
          <w:rFonts w:ascii="Book Antiqua" w:hAnsi="Book Antiqua"/>
        </w:rPr>
        <w:t>Le troisième indicateur est la capacité de produire de l’information (X3), il y a 9 éléments de déclaration et est rempli par 32 répondants. Le score moyen obtenu est de 133,78 avec une moyenne de 4,18 et le pourcentage de score moyen est de 84%, ce qui peut être interprété comme une excellente catégorie. La capacité de production la plus élevée est dans l’énoncé numéro 29 avec un pourcentage de 95%, à savoir que les étudiants peuvent ajuster le format des documents de travail au besoin (pdf, docx, pptx, mp4, mp3) pour être ensuite partagés / collectés via des médias numériques (google classroom, whatsapp, e-mail). Alors que le résultat le plus bas dans l’énoncé numéro 26 est que les étudiants sont habitués à faire des documents textuels Français tels que des nouvelles, des bandes dessinées, des articles, des articles scientifiques, des essais utilisant des applications de traitement de texte, par 70% avec de bonnes catégories</w:t>
      </w:r>
      <w:r w:rsidR="00E65F64" w:rsidRPr="00C77EFD">
        <w:rPr>
          <w:rFonts w:ascii="Book Antiqua" w:eastAsia="Times New Roman" w:hAnsi="Book Antiqua" w:cs="Times New Roman"/>
          <w:color w:val="000000"/>
        </w:rPr>
        <w:t>.</w:t>
      </w:r>
    </w:p>
    <w:p w:rsidR="00C03B52" w:rsidRDefault="00C03B52" w:rsidP="00E65F64">
      <w:pPr>
        <w:spacing w:line="240" w:lineRule="auto"/>
        <w:ind w:firstLine="567"/>
        <w:jc w:val="both"/>
        <w:rPr>
          <w:rFonts w:ascii="Book Antiqua" w:eastAsia="Times New Roman" w:hAnsi="Book Antiqua" w:cs="Times New Roman"/>
          <w:color w:val="000000"/>
        </w:rPr>
      </w:pPr>
    </w:p>
    <w:p w:rsidR="00C03B52" w:rsidRDefault="00C03B52" w:rsidP="00E65F64">
      <w:pPr>
        <w:spacing w:line="240" w:lineRule="auto"/>
        <w:ind w:firstLine="567"/>
        <w:jc w:val="both"/>
        <w:rPr>
          <w:rFonts w:ascii="Book Antiqua" w:eastAsia="Times New Roman" w:hAnsi="Book Antiqua" w:cs="Times New Roman"/>
          <w:color w:val="000000"/>
        </w:rPr>
      </w:pPr>
    </w:p>
    <w:p w:rsidR="00C03B52" w:rsidRDefault="00C03B52" w:rsidP="00E65F64">
      <w:pPr>
        <w:spacing w:line="240" w:lineRule="auto"/>
        <w:ind w:firstLine="567"/>
        <w:jc w:val="both"/>
        <w:rPr>
          <w:rFonts w:ascii="Book Antiqua" w:eastAsia="Times New Roman" w:hAnsi="Book Antiqua" w:cs="Times New Roman"/>
          <w:color w:val="000000"/>
        </w:rPr>
      </w:pPr>
    </w:p>
    <w:p w:rsidR="00C03B52" w:rsidRPr="00C77EFD" w:rsidRDefault="00C03B52" w:rsidP="00E65F64">
      <w:pPr>
        <w:spacing w:line="240" w:lineRule="auto"/>
        <w:ind w:firstLine="567"/>
        <w:jc w:val="both"/>
        <w:rPr>
          <w:rFonts w:ascii="Book Antiqua" w:eastAsia="Times New Roman" w:hAnsi="Book Antiqua" w:cs="Times New Roman"/>
          <w:color w:val="000000"/>
        </w:rPr>
      </w:pPr>
    </w:p>
    <w:p w:rsidR="00E65F64" w:rsidRPr="00C77EFD" w:rsidRDefault="00C03B52" w:rsidP="002E5C53">
      <w:pPr>
        <w:pStyle w:val="Caption"/>
        <w:rPr>
          <w:rFonts w:ascii="Book Antiqua" w:hAnsi="Book Antiqua"/>
          <w:sz w:val="22"/>
          <w:szCs w:val="22"/>
        </w:rPr>
      </w:pPr>
      <w:r w:rsidRPr="00C03B52">
        <w:rPr>
          <w:rFonts w:ascii="Book Antiqua" w:hAnsi="Book Antiqua"/>
          <w:i w:val="0"/>
          <w:iCs w:val="0"/>
          <w:sz w:val="22"/>
          <w:szCs w:val="22"/>
        </w:rPr>
        <w:t xml:space="preserve">Tableau 4. Résultats des données des indicateurs de capacité de production d’information </w:t>
      </w:r>
      <w:r w:rsidR="00E65F64" w:rsidRPr="00C77EFD">
        <w:rPr>
          <w:rFonts w:ascii="Book Antiqua" w:hAnsi="Book Antiqua"/>
          <w:noProof/>
          <w:sz w:val="22"/>
          <w:szCs w:val="22"/>
          <w:lang w:val="en-US"/>
        </w:rPr>
        <w:drawing>
          <wp:inline distT="0" distB="0" distL="0" distR="0">
            <wp:extent cx="2591308" cy="1876425"/>
            <wp:effectExtent l="0" t="0" r="0" b="0"/>
            <wp:docPr id="32" name="Picture 3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able&#10;&#10;Description automatically generated"/>
                    <pic:cNvPicPr>
                      <a:picLocks noChangeAspect="1" noChangeArrowheads="1"/>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0078" t="-714" r="20663" b="9217"/>
                    <a:stretch/>
                  </pic:blipFill>
                  <pic:spPr bwMode="auto">
                    <a:xfrm>
                      <a:off x="0" y="0"/>
                      <a:ext cx="2596621" cy="188027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65F64" w:rsidRPr="00C77EFD" w:rsidRDefault="00C03B52" w:rsidP="00E65F64">
      <w:pPr>
        <w:spacing w:after="0" w:line="240" w:lineRule="auto"/>
        <w:ind w:firstLine="567"/>
        <w:jc w:val="both"/>
        <w:rPr>
          <w:rFonts w:ascii="Book Antiqua" w:eastAsia="Times New Roman" w:hAnsi="Book Antiqua" w:cs="Times New Roman"/>
          <w:color w:val="000000"/>
        </w:rPr>
      </w:pPr>
      <w:r w:rsidRPr="00C03B52">
        <w:rPr>
          <w:rFonts w:ascii="Book Antiqua" w:hAnsi="Book Antiqua"/>
        </w:rPr>
        <w:t>Le quatrième indicateur est la capacité d’interagir et de protéger l’environnement numérique (X4), il y a 11 éléments de déclaration et remplis par 32 répondants. Le score moyen obtenu est de 142,55 avec une moyenne de 4,45 et le pourcentage de score moyen est de 89%, ce qui peut être interprété comme une excellente catégorie. La capacité la plus élevée est dans l’énoncé numéro 30 avec un pourcentage de 94%, à savoir les étudiants utilisant des supports de communication numériques qui répondent aux besoins du cours. Alors que le résultat le plus bas dans l’énoncé numéro 37 est que les étudiants suivent et s’abonnent à Français sites / chaînes / comptes d’apprentissage sur des médias numériques tels que Instagram, YouTube et le Web spécifiquement pour l’apprentissage des langues, par 87% avec de bonnes catégories</w:t>
      </w:r>
      <w:r w:rsidR="00E65F64" w:rsidRPr="00C77EFD">
        <w:rPr>
          <w:rFonts w:ascii="Book Antiqua" w:eastAsia="Times New Roman" w:hAnsi="Book Antiqua" w:cs="Times New Roman"/>
          <w:color w:val="000000"/>
        </w:rPr>
        <w:t>.</w:t>
      </w:r>
    </w:p>
    <w:p w:rsidR="00776941" w:rsidRDefault="00776941" w:rsidP="00E65F64">
      <w:pPr>
        <w:spacing w:after="0" w:line="240" w:lineRule="auto"/>
        <w:ind w:firstLine="567"/>
        <w:jc w:val="both"/>
        <w:rPr>
          <w:rFonts w:ascii="Book Antiqua" w:eastAsia="Times New Roman" w:hAnsi="Book Antiqua" w:cs="Times New Roman"/>
          <w:color w:val="000000"/>
        </w:rPr>
      </w:pPr>
    </w:p>
    <w:p w:rsidR="00585AF1" w:rsidRDefault="00585AF1" w:rsidP="00E65F64">
      <w:pPr>
        <w:spacing w:after="0" w:line="240" w:lineRule="auto"/>
        <w:ind w:firstLine="567"/>
        <w:jc w:val="both"/>
        <w:rPr>
          <w:rFonts w:ascii="Book Antiqua" w:eastAsia="Times New Roman" w:hAnsi="Book Antiqua" w:cs="Times New Roman"/>
          <w:color w:val="000000"/>
        </w:rPr>
      </w:pPr>
    </w:p>
    <w:p w:rsidR="00585AF1" w:rsidRDefault="00585AF1" w:rsidP="00E65F64">
      <w:pPr>
        <w:spacing w:after="0" w:line="240" w:lineRule="auto"/>
        <w:ind w:firstLine="567"/>
        <w:jc w:val="both"/>
        <w:rPr>
          <w:rFonts w:ascii="Book Antiqua" w:eastAsia="Times New Roman" w:hAnsi="Book Antiqua" w:cs="Times New Roman"/>
          <w:color w:val="000000"/>
        </w:rPr>
      </w:pPr>
    </w:p>
    <w:p w:rsidR="00585AF1" w:rsidRDefault="00585AF1" w:rsidP="00E65F64">
      <w:pPr>
        <w:spacing w:after="0" w:line="240" w:lineRule="auto"/>
        <w:ind w:firstLine="567"/>
        <w:jc w:val="both"/>
        <w:rPr>
          <w:rFonts w:ascii="Book Antiqua" w:eastAsia="Times New Roman" w:hAnsi="Book Antiqua" w:cs="Times New Roman"/>
          <w:color w:val="000000"/>
        </w:rPr>
      </w:pPr>
    </w:p>
    <w:p w:rsidR="00585AF1" w:rsidRDefault="00585AF1" w:rsidP="00E65F64">
      <w:pPr>
        <w:spacing w:after="0" w:line="240" w:lineRule="auto"/>
        <w:ind w:firstLine="567"/>
        <w:jc w:val="both"/>
        <w:rPr>
          <w:rFonts w:ascii="Book Antiqua" w:eastAsia="Times New Roman" w:hAnsi="Book Antiqua" w:cs="Times New Roman"/>
          <w:color w:val="000000"/>
        </w:rPr>
      </w:pPr>
    </w:p>
    <w:p w:rsidR="00585AF1" w:rsidRDefault="00585AF1" w:rsidP="00E65F64">
      <w:pPr>
        <w:spacing w:after="0" w:line="240" w:lineRule="auto"/>
        <w:ind w:firstLine="567"/>
        <w:jc w:val="both"/>
        <w:rPr>
          <w:rFonts w:ascii="Book Antiqua" w:eastAsia="Times New Roman" w:hAnsi="Book Antiqua" w:cs="Times New Roman"/>
          <w:color w:val="000000"/>
        </w:rPr>
      </w:pPr>
    </w:p>
    <w:p w:rsidR="00585AF1" w:rsidRDefault="00585AF1" w:rsidP="00E65F64">
      <w:pPr>
        <w:spacing w:after="0" w:line="240" w:lineRule="auto"/>
        <w:ind w:firstLine="567"/>
        <w:jc w:val="both"/>
        <w:rPr>
          <w:rFonts w:ascii="Book Antiqua" w:eastAsia="Times New Roman" w:hAnsi="Book Antiqua" w:cs="Times New Roman"/>
          <w:color w:val="000000"/>
        </w:rPr>
      </w:pPr>
    </w:p>
    <w:p w:rsidR="00585AF1" w:rsidRDefault="00585AF1" w:rsidP="00E65F64">
      <w:pPr>
        <w:spacing w:after="0" w:line="240" w:lineRule="auto"/>
        <w:ind w:firstLine="567"/>
        <w:jc w:val="both"/>
        <w:rPr>
          <w:rFonts w:ascii="Book Antiqua" w:eastAsia="Times New Roman" w:hAnsi="Book Antiqua" w:cs="Times New Roman"/>
          <w:color w:val="000000"/>
        </w:rPr>
      </w:pPr>
    </w:p>
    <w:p w:rsidR="00585AF1" w:rsidRDefault="00585AF1" w:rsidP="00E65F64">
      <w:pPr>
        <w:spacing w:after="0" w:line="240" w:lineRule="auto"/>
        <w:ind w:firstLine="567"/>
        <w:jc w:val="both"/>
        <w:rPr>
          <w:rFonts w:ascii="Book Antiqua" w:eastAsia="Times New Roman" w:hAnsi="Book Antiqua" w:cs="Times New Roman"/>
          <w:color w:val="000000"/>
        </w:rPr>
      </w:pPr>
    </w:p>
    <w:p w:rsidR="00585AF1" w:rsidRDefault="00585AF1" w:rsidP="00E65F64">
      <w:pPr>
        <w:spacing w:after="0" w:line="240" w:lineRule="auto"/>
        <w:ind w:firstLine="567"/>
        <w:jc w:val="both"/>
        <w:rPr>
          <w:rFonts w:ascii="Book Antiqua" w:eastAsia="Times New Roman" w:hAnsi="Book Antiqua" w:cs="Times New Roman"/>
          <w:color w:val="000000"/>
        </w:rPr>
      </w:pPr>
    </w:p>
    <w:p w:rsidR="00585AF1" w:rsidRDefault="00585AF1" w:rsidP="00E65F64">
      <w:pPr>
        <w:spacing w:after="0" w:line="240" w:lineRule="auto"/>
        <w:ind w:firstLine="567"/>
        <w:jc w:val="both"/>
        <w:rPr>
          <w:rFonts w:ascii="Book Antiqua" w:eastAsia="Times New Roman" w:hAnsi="Book Antiqua" w:cs="Times New Roman"/>
          <w:color w:val="000000"/>
        </w:rPr>
      </w:pPr>
    </w:p>
    <w:p w:rsidR="00585AF1" w:rsidRDefault="00585AF1" w:rsidP="00E65F64">
      <w:pPr>
        <w:spacing w:after="0" w:line="240" w:lineRule="auto"/>
        <w:ind w:firstLine="567"/>
        <w:jc w:val="both"/>
        <w:rPr>
          <w:rFonts w:ascii="Book Antiqua" w:eastAsia="Times New Roman" w:hAnsi="Book Antiqua" w:cs="Times New Roman"/>
          <w:color w:val="000000"/>
        </w:rPr>
      </w:pPr>
    </w:p>
    <w:p w:rsidR="00585AF1" w:rsidRPr="00C77EFD" w:rsidRDefault="00585AF1" w:rsidP="00E65F64">
      <w:pPr>
        <w:spacing w:after="0" w:line="240" w:lineRule="auto"/>
        <w:ind w:firstLine="567"/>
        <w:jc w:val="both"/>
        <w:rPr>
          <w:rFonts w:ascii="Book Antiqua" w:eastAsia="Times New Roman" w:hAnsi="Book Antiqua" w:cs="Times New Roman"/>
          <w:color w:val="000000"/>
        </w:rPr>
      </w:pPr>
    </w:p>
    <w:p w:rsidR="00E65F64" w:rsidRPr="00C77EFD" w:rsidRDefault="00585AF1" w:rsidP="002E5C53">
      <w:pPr>
        <w:pStyle w:val="Caption"/>
        <w:spacing w:after="0"/>
        <w:rPr>
          <w:rFonts w:ascii="Book Antiqua" w:hAnsi="Book Antiqua"/>
          <w:i w:val="0"/>
          <w:iCs w:val="0"/>
          <w:sz w:val="22"/>
          <w:szCs w:val="22"/>
        </w:rPr>
      </w:pPr>
      <w:r w:rsidRPr="00585AF1">
        <w:rPr>
          <w:rFonts w:ascii="Book Antiqua" w:hAnsi="Book Antiqua"/>
          <w:i w:val="0"/>
          <w:iCs w:val="0"/>
          <w:sz w:val="22"/>
          <w:szCs w:val="22"/>
        </w:rPr>
        <w:t xml:space="preserve">Tableau 5. Résultats des données des indicateurs d’interaction et de capacité de protection de l’environnement numérique </w:t>
      </w:r>
      <w:r w:rsidR="00E65F64" w:rsidRPr="00C77EFD">
        <w:rPr>
          <w:rFonts w:ascii="Book Antiqua" w:hAnsi="Book Antiqua"/>
          <w:noProof/>
          <w:sz w:val="22"/>
          <w:szCs w:val="22"/>
          <w:lang w:val="en-US"/>
        </w:rPr>
        <w:drawing>
          <wp:inline distT="0" distB="0" distL="0" distR="0">
            <wp:extent cx="2635015" cy="2200275"/>
            <wp:effectExtent l="0" t="0" r="0" b="0"/>
            <wp:docPr id="1" name="Picture 1"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Graphical user interface, table&#10;&#10;Description automatically generated with medium confidence"/>
                    <pic:cNvPicPr>
                      <a:picLocks noChangeAspect="1" noChangeArrowheads="1"/>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0460" t="-841" r="20460" b="8476"/>
                    <a:stretch/>
                  </pic:blipFill>
                  <pic:spPr bwMode="auto">
                    <a:xfrm>
                      <a:off x="0" y="0"/>
                      <a:ext cx="2652911" cy="221521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65F64" w:rsidRPr="00C77EFD" w:rsidRDefault="00CF1F2F" w:rsidP="00E65F64">
      <w:pPr>
        <w:pStyle w:val="Heading1"/>
        <w:spacing w:line="240" w:lineRule="auto"/>
        <w:rPr>
          <w:rFonts w:ascii="Book Antiqua" w:hAnsi="Book Antiqua"/>
          <w:b/>
          <w:bCs/>
          <w:color w:val="auto"/>
          <w:sz w:val="22"/>
          <w:szCs w:val="22"/>
        </w:rPr>
      </w:pPr>
      <w:r>
        <w:rPr>
          <w:rFonts w:ascii="Book Antiqua" w:hAnsi="Book Antiqua"/>
          <w:b/>
          <w:bCs/>
          <w:color w:val="auto"/>
          <w:sz w:val="22"/>
          <w:szCs w:val="22"/>
        </w:rPr>
        <w:t>CONCLUSION</w:t>
      </w:r>
    </w:p>
    <w:p w:rsidR="00585AF1" w:rsidRPr="00585AF1" w:rsidRDefault="00585AF1" w:rsidP="00585AF1">
      <w:pPr>
        <w:spacing w:before="240" w:line="240" w:lineRule="auto"/>
        <w:ind w:firstLine="720"/>
        <w:jc w:val="both"/>
        <w:rPr>
          <w:rFonts w:ascii="Book Antiqua" w:eastAsia="Times New Roman" w:hAnsi="Book Antiqua" w:cs="Times New Roman"/>
          <w:lang w:eastAsia="en-ID"/>
        </w:rPr>
      </w:pPr>
      <w:r w:rsidRPr="00585AF1">
        <w:rPr>
          <w:rFonts w:ascii="Book Antiqua" w:eastAsia="Times New Roman" w:hAnsi="Book Antiqua" w:cs="Times New Roman"/>
          <w:lang w:eastAsia="en-ID"/>
        </w:rPr>
        <w:t xml:space="preserve">En regardant les résultats globaux des données, on peut conclure que les quatre indicateurs de littératie numérique de l’UNJ Français les étudiants de dernière année d’enseignement des langues en apprentissage, chacun a montré de très bons résultats, de sorte que les variables globales de leurs compétences en littératie numérique étaient également très bonnes. L’indicateur le plus élevé est la capacité d’interagir et de protéger l’environnement numérique avec un pourcentage de 89% classé comme très bon, suivi de l’indicateur de capacité d’acceptation de l’information de 85% classé comme très bon, puis les capacités technologiques de 84% sont dans la catégorie excellente, puis le plus bas est la capacité de produire de l’information avec un pourcentage de 84% classé comme excellent. </w:t>
      </w:r>
    </w:p>
    <w:p w:rsidR="00E65F64" w:rsidRPr="00C77EFD" w:rsidRDefault="00585AF1" w:rsidP="00585AF1">
      <w:pPr>
        <w:spacing w:before="240" w:line="240" w:lineRule="auto"/>
        <w:ind w:firstLine="720"/>
        <w:jc w:val="both"/>
        <w:rPr>
          <w:rFonts w:ascii="Book Antiqua" w:hAnsi="Book Antiqua" w:cs="Times New Roman"/>
        </w:rPr>
      </w:pPr>
      <w:r w:rsidRPr="00585AF1">
        <w:rPr>
          <w:rFonts w:ascii="Book Antiqua" w:eastAsia="Times New Roman" w:hAnsi="Book Antiqua" w:cs="Times New Roman"/>
          <w:lang w:eastAsia="en-ID"/>
        </w:rPr>
        <w:t xml:space="preserve">Parallèlement à cette recherche, le conseil à prendre en compte est qu’il est impératif de continuer à adapter et à développer l’apprentissage des langues Français à l’ère numérique dans le but de préparer les élèves à maîtriser la littératie numérique de manière créative, judicieuse et productive dans l’apprentissage. En outre, on espère que les enseignants et les </w:t>
      </w:r>
      <w:r w:rsidRPr="00585AF1">
        <w:rPr>
          <w:rFonts w:ascii="Book Antiqua" w:eastAsia="Times New Roman" w:hAnsi="Book Antiqua" w:cs="Times New Roman"/>
          <w:lang w:eastAsia="en-ID"/>
        </w:rPr>
        <w:lastRenderedPageBreak/>
        <w:t>apprenants pourront reconnaître les compétences essentielles en littératie numériqu</w:t>
      </w:r>
      <w:r>
        <w:rPr>
          <w:rFonts w:ascii="Book Antiqua" w:eastAsia="Times New Roman" w:hAnsi="Book Antiqua" w:cs="Times New Roman"/>
          <w:lang w:eastAsia="en-ID"/>
        </w:rPr>
        <w:t>e à appliquer à l’apprentissage</w:t>
      </w:r>
      <w:r w:rsidRPr="00585AF1">
        <w:rPr>
          <w:rFonts w:ascii="Book Antiqua" w:eastAsia="Times New Roman" w:hAnsi="Book Antiqua" w:cs="Times New Roman"/>
          <w:lang w:eastAsia="en-ID"/>
        </w:rPr>
        <w:t xml:space="preserve"> </w:t>
      </w:r>
      <w:r w:rsidRPr="00585AF1">
        <w:rPr>
          <w:rFonts w:ascii="Book Antiqua" w:hAnsi="Book Antiqua" w:cs="Times New Roman"/>
        </w:rPr>
        <w:t>Français, tant au niveau scolaire qu’au niveau collégial.</w:t>
      </w:r>
    </w:p>
    <w:p w:rsidR="0015368D" w:rsidRPr="00C77EFD" w:rsidRDefault="002E5C53" w:rsidP="002E5C53">
      <w:pPr>
        <w:pStyle w:val="Heading1"/>
        <w:spacing w:line="240" w:lineRule="auto"/>
        <w:jc w:val="both"/>
        <w:rPr>
          <w:rFonts w:ascii="Book Antiqua" w:hAnsi="Book Antiqua"/>
          <w:b/>
          <w:bCs/>
          <w:color w:val="auto"/>
          <w:sz w:val="22"/>
          <w:szCs w:val="22"/>
          <w:lang w:val="fr-FR"/>
        </w:rPr>
      </w:pPr>
      <w:r>
        <w:rPr>
          <w:rFonts w:ascii="Book Antiqua" w:hAnsi="Book Antiqua"/>
          <w:b/>
          <w:bCs/>
          <w:color w:val="auto"/>
          <w:sz w:val="22"/>
          <w:szCs w:val="22"/>
          <w:lang w:val="fr-FR"/>
        </w:rPr>
        <w:t>BIBLIOGRAFI</w:t>
      </w:r>
    </w:p>
    <w:p w:rsidR="00FE1240" w:rsidRPr="00FE1240" w:rsidRDefault="00BB2855" w:rsidP="00FE1240">
      <w:pPr>
        <w:widowControl w:val="0"/>
        <w:autoSpaceDE w:val="0"/>
        <w:autoSpaceDN w:val="0"/>
        <w:adjustRightInd w:val="0"/>
        <w:spacing w:after="0" w:line="240" w:lineRule="auto"/>
        <w:ind w:left="480" w:hanging="480"/>
        <w:jc w:val="both"/>
        <w:rPr>
          <w:rFonts w:ascii="Book Antiqua" w:hAnsi="Book Antiqua" w:cs="Calibri"/>
          <w:noProof/>
          <w:szCs w:val="24"/>
        </w:rPr>
      </w:pPr>
      <w:r>
        <w:fldChar w:fldCharType="begin" w:fldLock="1"/>
      </w:r>
      <w:r w:rsidR="00FE1240">
        <w:instrText xml:space="preserve">ADDIN Mendeley Bibliography CSL_BIBLIOGRAPHY </w:instrText>
      </w:r>
      <w:r>
        <w:fldChar w:fldCharType="separate"/>
      </w:r>
      <w:r w:rsidR="00FE1240" w:rsidRPr="00FE1240">
        <w:rPr>
          <w:rFonts w:ascii="Book Antiqua" w:hAnsi="Book Antiqua" w:cs="Calibri"/>
          <w:noProof/>
          <w:szCs w:val="24"/>
        </w:rPr>
        <w:t xml:space="preserve">Abah,J.(2016). L’enseignement et L’apprentissage du Francais Langue Etrangere (FLE) dans un Environnement des TIC. </w:t>
      </w:r>
      <w:r w:rsidR="00FE1240" w:rsidRPr="00FE1240">
        <w:rPr>
          <w:rFonts w:ascii="Book Antiqua" w:hAnsi="Book Antiqua" w:cs="Calibri"/>
          <w:i/>
          <w:iCs/>
          <w:noProof/>
          <w:szCs w:val="24"/>
        </w:rPr>
        <w:t>International Journal of Development and Management Review</w:t>
      </w:r>
      <w:r w:rsidR="00FE1240" w:rsidRPr="00FE1240">
        <w:rPr>
          <w:rFonts w:ascii="Book Antiqua" w:hAnsi="Book Antiqua" w:cs="Calibri"/>
          <w:noProof/>
          <w:szCs w:val="24"/>
        </w:rPr>
        <w:t xml:space="preserve">, </w:t>
      </w:r>
      <w:r w:rsidR="00FE1240" w:rsidRPr="00FE1240">
        <w:rPr>
          <w:rFonts w:ascii="Book Antiqua" w:hAnsi="Book Antiqua" w:cs="Calibri"/>
          <w:i/>
          <w:iCs/>
          <w:noProof/>
          <w:szCs w:val="24"/>
        </w:rPr>
        <w:t>11</w:t>
      </w:r>
      <w:r w:rsidR="00FE1240" w:rsidRPr="00FE1240">
        <w:rPr>
          <w:rFonts w:ascii="Book Antiqua" w:hAnsi="Book Antiqua" w:cs="Calibri"/>
          <w:noProof/>
          <w:szCs w:val="24"/>
        </w:rPr>
        <w:t>(1), 250–263.</w:t>
      </w:r>
    </w:p>
    <w:p w:rsidR="00FE1240" w:rsidRPr="00FE1240" w:rsidRDefault="00FE1240" w:rsidP="00FE1240">
      <w:pPr>
        <w:widowControl w:val="0"/>
        <w:autoSpaceDE w:val="0"/>
        <w:autoSpaceDN w:val="0"/>
        <w:adjustRightInd w:val="0"/>
        <w:spacing w:after="0" w:line="240" w:lineRule="auto"/>
        <w:ind w:left="480" w:hanging="480"/>
        <w:jc w:val="both"/>
        <w:rPr>
          <w:rFonts w:ascii="Book Antiqua" w:hAnsi="Book Antiqua" w:cs="Calibri"/>
          <w:noProof/>
        </w:rPr>
      </w:pPr>
      <w:r w:rsidRPr="00FE1240">
        <w:rPr>
          <w:rFonts w:ascii="Book Antiqua" w:hAnsi="Book Antiqua" w:cs="Calibri"/>
          <w:noProof/>
          <w:szCs w:val="24"/>
        </w:rPr>
        <w:t xml:space="preserve">Аbrosimova, G. A. (2020). Digital literacy and digital skills in university study. </w:t>
      </w:r>
      <w:r w:rsidRPr="00FE1240">
        <w:rPr>
          <w:rFonts w:ascii="Book Antiqua" w:hAnsi="Book Antiqua" w:cs="Calibri"/>
          <w:i/>
          <w:iCs/>
          <w:noProof/>
          <w:szCs w:val="24"/>
        </w:rPr>
        <w:t>International Journal of Higher Education</w:t>
      </w:r>
      <w:r w:rsidRPr="00FE1240">
        <w:rPr>
          <w:rFonts w:ascii="Book Antiqua" w:hAnsi="Book Antiqua" w:cs="Calibri"/>
          <w:noProof/>
          <w:szCs w:val="24"/>
        </w:rPr>
        <w:t xml:space="preserve">, </w:t>
      </w:r>
      <w:r w:rsidRPr="00FE1240">
        <w:rPr>
          <w:rFonts w:ascii="Book Antiqua" w:hAnsi="Book Antiqua" w:cs="Calibri"/>
          <w:i/>
          <w:iCs/>
          <w:noProof/>
          <w:szCs w:val="24"/>
        </w:rPr>
        <w:t>9</w:t>
      </w:r>
      <w:r w:rsidRPr="00FE1240">
        <w:rPr>
          <w:rFonts w:ascii="Book Antiqua" w:hAnsi="Book Antiqua" w:cs="Calibri"/>
          <w:noProof/>
          <w:szCs w:val="24"/>
        </w:rPr>
        <w:t>(8), 52–58.</w:t>
      </w:r>
    </w:p>
    <w:p w:rsidR="00FE1240" w:rsidRPr="00FE1240" w:rsidRDefault="00FE1240" w:rsidP="00FE1240">
      <w:pPr>
        <w:widowControl w:val="0"/>
        <w:autoSpaceDE w:val="0"/>
        <w:autoSpaceDN w:val="0"/>
        <w:adjustRightInd w:val="0"/>
        <w:spacing w:after="0"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Adikara, G. J., Kurnia, N., Adhrianti, L., Astuty, S., Wijayanto, X. A., Desiana, F., &amp; Astuti, S. I. (2021). </w:t>
      </w:r>
      <w:r w:rsidRPr="00FE1240">
        <w:rPr>
          <w:rFonts w:ascii="Book Antiqua" w:hAnsi="Book Antiqua" w:cs="Calibri"/>
          <w:i/>
          <w:iCs/>
          <w:noProof/>
          <w:szCs w:val="24"/>
        </w:rPr>
        <w:t>Aman Bermedia Digital</w:t>
      </w:r>
      <w:r w:rsidRPr="00FE1240">
        <w:rPr>
          <w:rFonts w:ascii="Book Antiqua" w:hAnsi="Book Antiqua" w:cs="Calibri"/>
          <w:noProof/>
          <w:szCs w:val="24"/>
        </w:rPr>
        <w:t>. Direktorat Jenderal Aplikasi Informatika.</w:t>
      </w:r>
    </w:p>
    <w:p w:rsidR="00FE1240" w:rsidRPr="00FE1240" w:rsidRDefault="00FE1240" w:rsidP="00FE1240">
      <w:pPr>
        <w:widowControl w:val="0"/>
        <w:autoSpaceDE w:val="0"/>
        <w:autoSpaceDN w:val="0"/>
        <w:adjustRightInd w:val="0"/>
        <w:spacing w:after="0"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Cahyani, V., Ilhamsyah, I., &amp; Mutiah, N. (2021). Analisis tingkat literasi digital pada generasi Z dengan menggunakan digital competence framework 2.1 (studi kasus: mahasiswa FMIPA UNTAN). In </w:t>
      </w:r>
      <w:r w:rsidRPr="00FE1240">
        <w:rPr>
          <w:rFonts w:ascii="Book Antiqua" w:hAnsi="Book Antiqua" w:cs="Calibri"/>
          <w:i/>
          <w:iCs/>
          <w:noProof/>
          <w:szCs w:val="24"/>
        </w:rPr>
        <w:t>Coding Jurnal Komputer dan Aplikasi</w:t>
      </w:r>
      <w:r w:rsidRPr="00FE1240">
        <w:rPr>
          <w:rFonts w:ascii="Book Antiqua" w:hAnsi="Book Antiqua" w:cs="Calibri"/>
          <w:noProof/>
          <w:szCs w:val="24"/>
        </w:rPr>
        <w:t xml:space="preserve"> (Vol. 9, Issue 1).</w:t>
      </w:r>
    </w:p>
    <w:p w:rsidR="00FE1240" w:rsidRPr="00FE1240" w:rsidRDefault="00FE1240" w:rsidP="00FE1240">
      <w:pPr>
        <w:widowControl w:val="0"/>
        <w:autoSpaceDE w:val="0"/>
        <w:autoSpaceDN w:val="0"/>
        <w:adjustRightInd w:val="0"/>
        <w:spacing w:after="0" w:line="240" w:lineRule="auto"/>
        <w:ind w:left="480" w:hanging="480"/>
        <w:jc w:val="both"/>
        <w:rPr>
          <w:rFonts w:ascii="Book Antiqua" w:hAnsi="Book Antiqua" w:cs="Calibri"/>
          <w:noProof/>
          <w:szCs w:val="24"/>
        </w:rPr>
      </w:pPr>
      <w:r w:rsidRPr="00FE1240">
        <w:rPr>
          <w:rFonts w:ascii="Book Antiqua" w:hAnsi="Book Antiqua" w:cs="Calibri"/>
          <w:noProof/>
          <w:szCs w:val="24"/>
        </w:rPr>
        <w:t>Combe, C. (2021). Former à la littératie numérique de futurs enseignants de FLE</w:t>
      </w:r>
      <w:r w:rsidRPr="00FE1240">
        <w:rPr>
          <w:rFonts w:ascii="Times New Roman" w:hAnsi="Times New Roman" w:cs="Times New Roman"/>
          <w:noProof/>
          <w:szCs w:val="24"/>
        </w:rPr>
        <w:t> </w:t>
      </w:r>
      <w:r w:rsidRPr="00FE1240">
        <w:rPr>
          <w:rFonts w:ascii="Book Antiqua" w:hAnsi="Book Antiqua" w:cs="Calibri"/>
          <w:noProof/>
          <w:szCs w:val="24"/>
        </w:rPr>
        <w:t>: une approche par genres num</w:t>
      </w:r>
      <w:r w:rsidRPr="00FE1240">
        <w:rPr>
          <w:rFonts w:ascii="Book Antiqua" w:hAnsi="Book Antiqua" w:cs="Book Antiqua"/>
          <w:noProof/>
          <w:szCs w:val="24"/>
        </w:rPr>
        <w:t>é</w:t>
      </w:r>
      <w:r w:rsidRPr="00FE1240">
        <w:rPr>
          <w:rFonts w:ascii="Book Antiqua" w:hAnsi="Book Antiqua" w:cs="Calibri"/>
          <w:noProof/>
          <w:szCs w:val="24"/>
        </w:rPr>
        <w:t xml:space="preserve">riques. </w:t>
      </w:r>
      <w:r w:rsidRPr="00FE1240">
        <w:rPr>
          <w:rFonts w:ascii="Book Antiqua" w:hAnsi="Book Antiqua" w:cs="Calibri"/>
          <w:i/>
          <w:iCs/>
          <w:noProof/>
          <w:szCs w:val="24"/>
        </w:rPr>
        <w:t>Lidil: Revue de Linguistique et de Didactique Des Langues</w:t>
      </w:r>
      <w:r w:rsidRPr="00FE1240">
        <w:rPr>
          <w:rFonts w:ascii="Book Antiqua" w:hAnsi="Book Antiqua" w:cs="Calibri"/>
          <w:noProof/>
          <w:szCs w:val="24"/>
        </w:rPr>
        <w:t xml:space="preserve">, </w:t>
      </w:r>
      <w:r w:rsidRPr="00FE1240">
        <w:rPr>
          <w:rFonts w:ascii="Book Antiqua" w:hAnsi="Book Antiqua" w:cs="Calibri"/>
          <w:i/>
          <w:iCs/>
          <w:noProof/>
          <w:szCs w:val="24"/>
        </w:rPr>
        <w:t>63</w:t>
      </w:r>
      <w:r w:rsidRPr="00FE1240">
        <w:rPr>
          <w:rFonts w:ascii="Book Antiqua" w:hAnsi="Book Antiqua" w:cs="Calibri"/>
          <w:noProof/>
          <w:szCs w:val="24"/>
        </w:rPr>
        <w:t>.</w:t>
      </w:r>
    </w:p>
    <w:p w:rsidR="00FE1240" w:rsidRPr="00FE1240" w:rsidRDefault="00FE1240" w:rsidP="00FE1240">
      <w:pPr>
        <w:widowControl w:val="0"/>
        <w:autoSpaceDE w:val="0"/>
        <w:autoSpaceDN w:val="0"/>
        <w:adjustRightInd w:val="0"/>
        <w:spacing w:after="0"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Dalal, G., Oum Essad, L., &amp; Radhia, M. (2020). </w:t>
      </w:r>
      <w:r w:rsidRPr="00FE1240">
        <w:rPr>
          <w:rFonts w:ascii="Book Antiqua" w:hAnsi="Book Antiqua" w:cs="Calibri"/>
          <w:i/>
          <w:iCs/>
          <w:noProof/>
          <w:szCs w:val="24"/>
        </w:rPr>
        <w:t>Vers une littératie numér ique pour l’amélioration d’une compétence de production écrite via le forum «</w:t>
      </w:r>
      <w:r w:rsidRPr="00FE1240">
        <w:rPr>
          <w:rFonts w:ascii="Times New Roman" w:hAnsi="Times New Roman" w:cs="Times New Roman"/>
          <w:i/>
          <w:iCs/>
          <w:noProof/>
          <w:szCs w:val="24"/>
        </w:rPr>
        <w:t> </w:t>
      </w:r>
      <w:r w:rsidRPr="00FE1240">
        <w:rPr>
          <w:rFonts w:ascii="Book Antiqua" w:hAnsi="Book Antiqua" w:cs="Book Antiqua"/>
          <w:i/>
          <w:iCs/>
          <w:noProof/>
          <w:szCs w:val="24"/>
        </w:rPr>
        <w:t>É</w:t>
      </w:r>
      <w:r w:rsidRPr="00FE1240">
        <w:rPr>
          <w:rFonts w:ascii="Book Antiqua" w:hAnsi="Book Antiqua" w:cs="Calibri"/>
          <w:i/>
          <w:iCs/>
          <w:noProof/>
          <w:szCs w:val="24"/>
        </w:rPr>
        <w:t>criture D</w:t>
      </w:r>
      <w:r w:rsidRPr="00FE1240">
        <w:rPr>
          <w:rFonts w:ascii="Book Antiqua" w:hAnsi="Book Antiqua" w:cs="Book Antiqua"/>
          <w:i/>
          <w:iCs/>
          <w:noProof/>
          <w:szCs w:val="24"/>
        </w:rPr>
        <w:t>’</w:t>
      </w:r>
      <w:r w:rsidRPr="00FE1240">
        <w:rPr>
          <w:rFonts w:ascii="Book Antiqua" w:hAnsi="Book Antiqua" w:cs="Calibri"/>
          <w:i/>
          <w:iCs/>
          <w:noProof/>
          <w:szCs w:val="24"/>
        </w:rPr>
        <w:t>OR</w:t>
      </w:r>
      <w:r w:rsidRPr="00FE1240">
        <w:rPr>
          <w:rFonts w:ascii="Times New Roman" w:hAnsi="Times New Roman" w:cs="Times New Roman"/>
          <w:i/>
          <w:iCs/>
          <w:noProof/>
          <w:szCs w:val="24"/>
        </w:rPr>
        <w:t> </w:t>
      </w:r>
      <w:r w:rsidRPr="00FE1240">
        <w:rPr>
          <w:rFonts w:ascii="Book Antiqua" w:hAnsi="Book Antiqua" w:cs="Book Antiqua"/>
          <w:i/>
          <w:iCs/>
          <w:noProof/>
          <w:szCs w:val="24"/>
        </w:rPr>
        <w:t>»</w:t>
      </w:r>
      <w:r w:rsidRPr="00FE1240">
        <w:rPr>
          <w:rFonts w:ascii="Book Antiqua" w:hAnsi="Book Antiqua" w:cs="Calibri"/>
          <w:i/>
          <w:iCs/>
          <w:noProof/>
          <w:szCs w:val="24"/>
        </w:rPr>
        <w:t>. Le cas des apprenants de premi</w:t>
      </w:r>
      <w:r w:rsidRPr="00FE1240">
        <w:rPr>
          <w:rFonts w:ascii="Book Antiqua" w:hAnsi="Book Antiqua" w:cs="Book Antiqua"/>
          <w:i/>
          <w:iCs/>
          <w:noProof/>
          <w:szCs w:val="24"/>
        </w:rPr>
        <w:t>è</w:t>
      </w:r>
      <w:r w:rsidRPr="00FE1240">
        <w:rPr>
          <w:rFonts w:ascii="Book Antiqua" w:hAnsi="Book Antiqua" w:cs="Calibri"/>
          <w:i/>
          <w:iCs/>
          <w:noProof/>
          <w:szCs w:val="24"/>
        </w:rPr>
        <w:t>re ann</w:t>
      </w:r>
      <w:r w:rsidRPr="00FE1240">
        <w:rPr>
          <w:rFonts w:ascii="Book Antiqua" w:hAnsi="Book Antiqua" w:cs="Book Antiqua"/>
          <w:i/>
          <w:iCs/>
          <w:noProof/>
          <w:szCs w:val="24"/>
        </w:rPr>
        <w:t>é</w:t>
      </w:r>
      <w:r w:rsidRPr="00FE1240">
        <w:rPr>
          <w:rFonts w:ascii="Book Antiqua" w:hAnsi="Book Antiqua" w:cs="Calibri"/>
          <w:i/>
          <w:iCs/>
          <w:noProof/>
          <w:szCs w:val="24"/>
        </w:rPr>
        <w:t>e master de français option (D.L.A.) de l’université d’El Oued.</w:t>
      </w:r>
    </w:p>
    <w:p w:rsidR="00FE1240" w:rsidRPr="00FE1240" w:rsidRDefault="00FE1240" w:rsidP="00FE1240">
      <w:pPr>
        <w:widowControl w:val="0"/>
        <w:autoSpaceDE w:val="0"/>
        <w:autoSpaceDN w:val="0"/>
        <w:adjustRightInd w:val="0"/>
        <w:spacing w:after="0"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Irhandayaningsih, A. (2020). Pengukuran Literasi Digital Pada Peserta Pembelajaran Daring. In </w:t>
      </w:r>
      <w:r w:rsidRPr="00FE1240">
        <w:rPr>
          <w:rFonts w:ascii="Book Antiqua" w:hAnsi="Book Antiqua" w:cs="Calibri"/>
          <w:i/>
          <w:iCs/>
          <w:noProof/>
          <w:szCs w:val="24"/>
        </w:rPr>
        <w:t>Undip E-Journal System (Uejs)</w:t>
      </w:r>
      <w:r w:rsidRPr="00FE1240">
        <w:rPr>
          <w:rFonts w:ascii="Book Antiqua" w:hAnsi="Book Antiqua" w:cs="Calibri"/>
          <w:noProof/>
          <w:szCs w:val="24"/>
        </w:rPr>
        <w:t xml:space="preserve"> (Vol. 4, Issue 2).</w:t>
      </w:r>
    </w:p>
    <w:p w:rsidR="00FE1240" w:rsidRPr="00FE1240" w:rsidRDefault="00FE1240" w:rsidP="00FE1240">
      <w:pPr>
        <w:widowControl w:val="0"/>
        <w:autoSpaceDE w:val="0"/>
        <w:autoSpaceDN w:val="0"/>
        <w:adjustRightInd w:val="0"/>
        <w:spacing w:after="0"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Kalinić, M. (2021). Les stratégies d’apprentissage du vocabulaire en FLE au niveau universitaire. </w:t>
      </w:r>
      <w:r w:rsidRPr="00FE1240">
        <w:rPr>
          <w:rFonts w:ascii="Book Antiqua" w:hAnsi="Book Antiqua" w:cs="Calibri"/>
          <w:i/>
          <w:iCs/>
          <w:noProof/>
          <w:szCs w:val="24"/>
        </w:rPr>
        <w:t xml:space="preserve">ODRAZ - Open Repository of the University of </w:t>
      </w:r>
      <w:r w:rsidRPr="00FE1240">
        <w:rPr>
          <w:rFonts w:ascii="Book Antiqua" w:hAnsi="Book Antiqua" w:cs="Calibri"/>
          <w:i/>
          <w:iCs/>
          <w:noProof/>
          <w:szCs w:val="24"/>
        </w:rPr>
        <w:lastRenderedPageBreak/>
        <w:t>Zagreb Faculty of Humanities and Social Sciences</w:t>
      </w:r>
      <w:r w:rsidRPr="00FE1240">
        <w:rPr>
          <w:rFonts w:ascii="Book Antiqua" w:hAnsi="Book Antiqua" w:cs="Calibri"/>
          <w:noProof/>
          <w:szCs w:val="24"/>
        </w:rPr>
        <w:t>.</w:t>
      </w:r>
    </w:p>
    <w:p w:rsidR="00FE1240" w:rsidRPr="00FE1240" w:rsidRDefault="00FE1240" w:rsidP="00FE1240">
      <w:pPr>
        <w:widowControl w:val="0"/>
        <w:autoSpaceDE w:val="0"/>
        <w:autoSpaceDN w:val="0"/>
        <w:adjustRightInd w:val="0"/>
        <w:spacing w:after="0" w:line="240" w:lineRule="auto"/>
        <w:ind w:left="480" w:hanging="480"/>
        <w:jc w:val="both"/>
        <w:rPr>
          <w:rFonts w:ascii="Book Antiqua" w:hAnsi="Book Antiqua" w:cs="Calibri"/>
          <w:noProof/>
          <w:szCs w:val="24"/>
        </w:rPr>
      </w:pPr>
      <w:r w:rsidRPr="00FE1240">
        <w:rPr>
          <w:rFonts w:ascii="Book Antiqua" w:hAnsi="Book Antiqua" w:cs="Calibri"/>
          <w:noProof/>
          <w:szCs w:val="24"/>
        </w:rPr>
        <w:t>Lacelle, N., Richard, M., Martel, V., Vallieres, A., &amp; Labrie, M.-P. (2022). La cocréation avec des institutions scolaires et culturelles</w:t>
      </w:r>
      <w:r w:rsidRPr="00FE1240">
        <w:rPr>
          <w:rFonts w:ascii="Times New Roman" w:hAnsi="Times New Roman" w:cs="Times New Roman"/>
          <w:noProof/>
          <w:szCs w:val="24"/>
        </w:rPr>
        <w:t> </w:t>
      </w:r>
      <w:r w:rsidRPr="00FE1240">
        <w:rPr>
          <w:rFonts w:ascii="Book Antiqua" w:hAnsi="Book Antiqua" w:cs="Calibri"/>
          <w:noProof/>
          <w:szCs w:val="24"/>
        </w:rPr>
        <w:t>: recherche design en litt</w:t>
      </w:r>
      <w:r w:rsidRPr="00FE1240">
        <w:rPr>
          <w:rFonts w:ascii="Book Antiqua" w:hAnsi="Book Antiqua" w:cs="Book Antiqua"/>
          <w:noProof/>
          <w:szCs w:val="24"/>
        </w:rPr>
        <w:t>é</w:t>
      </w:r>
      <w:r w:rsidRPr="00FE1240">
        <w:rPr>
          <w:rFonts w:ascii="Book Antiqua" w:hAnsi="Book Antiqua" w:cs="Calibri"/>
          <w:noProof/>
          <w:szCs w:val="24"/>
        </w:rPr>
        <w:t>ratie num</w:t>
      </w:r>
      <w:r w:rsidRPr="00FE1240">
        <w:rPr>
          <w:rFonts w:ascii="Book Antiqua" w:hAnsi="Book Antiqua" w:cs="Book Antiqua"/>
          <w:noProof/>
          <w:szCs w:val="24"/>
        </w:rPr>
        <w:t>é</w:t>
      </w:r>
      <w:r w:rsidRPr="00FE1240">
        <w:rPr>
          <w:rFonts w:ascii="Book Antiqua" w:hAnsi="Book Antiqua" w:cs="Calibri"/>
          <w:noProof/>
          <w:szCs w:val="24"/>
        </w:rPr>
        <w:t xml:space="preserve">rique. </w:t>
      </w:r>
      <w:r w:rsidRPr="00FE1240">
        <w:rPr>
          <w:rFonts w:ascii="Book Antiqua" w:hAnsi="Book Antiqua" w:cs="Calibri"/>
          <w:i/>
          <w:iCs/>
          <w:noProof/>
          <w:szCs w:val="24"/>
        </w:rPr>
        <w:t>Digital Studies/Le Champ Numérique</w:t>
      </w:r>
      <w:r w:rsidRPr="00FE1240">
        <w:rPr>
          <w:rFonts w:ascii="Book Antiqua" w:hAnsi="Book Antiqua" w:cs="Calibri"/>
          <w:noProof/>
          <w:szCs w:val="24"/>
        </w:rPr>
        <w:t xml:space="preserve">, </w:t>
      </w:r>
      <w:r w:rsidRPr="00FE1240">
        <w:rPr>
          <w:rFonts w:ascii="Book Antiqua" w:hAnsi="Book Antiqua" w:cs="Calibri"/>
          <w:i/>
          <w:iCs/>
          <w:noProof/>
          <w:szCs w:val="24"/>
        </w:rPr>
        <w:t>12</w:t>
      </w:r>
      <w:r w:rsidRPr="00FE1240">
        <w:rPr>
          <w:rFonts w:ascii="Book Antiqua" w:hAnsi="Book Antiqua" w:cs="Calibri"/>
          <w:noProof/>
          <w:szCs w:val="24"/>
        </w:rPr>
        <w:t>(1), 1–34.</w:t>
      </w:r>
    </w:p>
    <w:p w:rsidR="00FE1240" w:rsidRPr="00FE1240" w:rsidRDefault="00FE1240" w:rsidP="00FE1240">
      <w:pPr>
        <w:widowControl w:val="0"/>
        <w:autoSpaceDE w:val="0"/>
        <w:autoSpaceDN w:val="0"/>
        <w:adjustRightInd w:val="0"/>
        <w:spacing w:after="0"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Lütge, C. (2022). </w:t>
      </w:r>
      <w:r w:rsidRPr="00FE1240">
        <w:rPr>
          <w:rFonts w:ascii="Book Antiqua" w:hAnsi="Book Antiqua" w:cs="Calibri"/>
          <w:i/>
          <w:iCs/>
          <w:noProof/>
          <w:szCs w:val="24"/>
        </w:rPr>
        <w:t>Foreign Language Learning in the Digital Age: Theory and Pedagogy for Developing Literacies</w:t>
      </w:r>
      <w:r w:rsidRPr="00FE1240">
        <w:rPr>
          <w:rFonts w:ascii="Book Antiqua" w:hAnsi="Book Antiqua" w:cs="Calibri"/>
          <w:noProof/>
          <w:szCs w:val="24"/>
        </w:rPr>
        <w:t xml:space="preserve"> (C. Lütge (ed.)). Routledge.</w:t>
      </w:r>
    </w:p>
    <w:p w:rsidR="00FE1240" w:rsidRPr="00FE1240" w:rsidRDefault="00FE1240" w:rsidP="00FE1240">
      <w:pPr>
        <w:widowControl w:val="0"/>
        <w:autoSpaceDE w:val="0"/>
        <w:autoSpaceDN w:val="0"/>
        <w:adjustRightInd w:val="0"/>
        <w:spacing w:after="0"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Ministère de l’éducation Nationale,  de la jeunesse et des sports. (2019). </w:t>
      </w:r>
      <w:r w:rsidRPr="00FE1240">
        <w:rPr>
          <w:rFonts w:ascii="Book Antiqua" w:hAnsi="Book Antiqua" w:cs="Calibri"/>
          <w:i/>
          <w:iCs/>
          <w:noProof/>
          <w:szCs w:val="24"/>
        </w:rPr>
        <w:t>Document d’accompagnement - Mise en œuvre du Cadre de Référence des Compétences Numériques (CRCN)</w:t>
      </w:r>
      <w:r w:rsidRPr="00FE1240">
        <w:rPr>
          <w:rFonts w:ascii="Book Antiqua" w:hAnsi="Book Antiqua" w:cs="Calibri"/>
          <w:noProof/>
          <w:szCs w:val="24"/>
        </w:rPr>
        <w:t>.</w:t>
      </w:r>
    </w:p>
    <w:p w:rsidR="00FE1240" w:rsidRPr="00FE1240" w:rsidRDefault="00FE1240" w:rsidP="00FE1240">
      <w:pPr>
        <w:widowControl w:val="0"/>
        <w:autoSpaceDE w:val="0"/>
        <w:autoSpaceDN w:val="0"/>
        <w:adjustRightInd w:val="0"/>
        <w:spacing w:after="0"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Monggilo, Z. M. ., Kurnia, N., &amp; Banyumurti, I. (2020). </w:t>
      </w:r>
      <w:r w:rsidRPr="00FE1240">
        <w:rPr>
          <w:rFonts w:ascii="Book Antiqua" w:hAnsi="Book Antiqua" w:cs="Calibri"/>
          <w:i/>
          <w:iCs/>
          <w:noProof/>
          <w:szCs w:val="24"/>
        </w:rPr>
        <w:t>Panduan Literasi Media Digital dan Keamanan Siber: Muda, Kreatif, dan tangguh di ruang siber</w:t>
      </w:r>
      <w:r w:rsidRPr="00FE1240">
        <w:rPr>
          <w:rFonts w:ascii="Book Antiqua" w:hAnsi="Book Antiqua" w:cs="Calibri"/>
          <w:noProof/>
          <w:szCs w:val="24"/>
        </w:rPr>
        <w:t>. Direktorat Pengendalian Informasi, Investigasi, dan Forensik Digital Badan Siber dan Sandi Negara.</w:t>
      </w:r>
    </w:p>
    <w:p w:rsidR="00FE1240" w:rsidRPr="00FE1240" w:rsidRDefault="00FE1240" w:rsidP="00FE1240">
      <w:pPr>
        <w:widowControl w:val="0"/>
        <w:autoSpaceDE w:val="0"/>
        <w:autoSpaceDN w:val="0"/>
        <w:adjustRightInd w:val="0"/>
        <w:spacing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Ollivier, C. (2018). </w:t>
      </w:r>
      <w:r w:rsidRPr="00FE1240">
        <w:rPr>
          <w:rFonts w:ascii="Book Antiqua" w:hAnsi="Book Antiqua" w:cs="Calibri"/>
          <w:i/>
          <w:iCs/>
          <w:noProof/>
          <w:szCs w:val="24"/>
        </w:rPr>
        <w:t>Littératie numérique et approche socio-interactionnelle pour l’enseignement-apprentissage des langues</w:t>
      </w:r>
      <w:r w:rsidRPr="00FE1240">
        <w:rPr>
          <w:rFonts w:ascii="Book Antiqua" w:hAnsi="Book Antiqua" w:cs="Calibri"/>
          <w:noProof/>
          <w:szCs w:val="24"/>
        </w:rPr>
        <w:t>. Conseil de l’Europe.</w:t>
      </w:r>
    </w:p>
    <w:p w:rsidR="00FE1240" w:rsidRPr="00FE1240" w:rsidRDefault="00FE1240" w:rsidP="00FE1240">
      <w:pPr>
        <w:widowControl w:val="0"/>
        <w:autoSpaceDE w:val="0"/>
        <w:autoSpaceDN w:val="0"/>
        <w:adjustRightInd w:val="0"/>
        <w:spacing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Shoffa, S., Holisin, I., &amp; Palandi, Josua F, D. (2021). </w:t>
      </w:r>
      <w:r w:rsidRPr="00FE1240">
        <w:rPr>
          <w:rFonts w:ascii="Book Antiqua" w:hAnsi="Book Antiqua" w:cs="Calibri"/>
          <w:i/>
          <w:iCs/>
          <w:noProof/>
          <w:szCs w:val="24"/>
        </w:rPr>
        <w:t>Perkembangan Media Pembelajaran di Perguruan Tinggi</w:t>
      </w:r>
      <w:r w:rsidRPr="00FE1240">
        <w:rPr>
          <w:rFonts w:ascii="Book Antiqua" w:hAnsi="Book Antiqua" w:cs="Calibri"/>
          <w:noProof/>
          <w:szCs w:val="24"/>
        </w:rPr>
        <w:t>. CV.AGRAPANA MEDIA.</w:t>
      </w:r>
    </w:p>
    <w:p w:rsidR="00FE1240" w:rsidRPr="00FE1240" w:rsidRDefault="00FE1240" w:rsidP="00FE1240">
      <w:pPr>
        <w:widowControl w:val="0"/>
        <w:autoSpaceDE w:val="0"/>
        <w:autoSpaceDN w:val="0"/>
        <w:adjustRightInd w:val="0"/>
        <w:spacing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Sugiyono. (2019). </w:t>
      </w:r>
      <w:r w:rsidRPr="00FE1240">
        <w:rPr>
          <w:rFonts w:ascii="Book Antiqua" w:hAnsi="Book Antiqua" w:cs="Calibri"/>
          <w:i/>
          <w:iCs/>
          <w:noProof/>
          <w:szCs w:val="24"/>
        </w:rPr>
        <w:t>Metode Penelitian Kuantitatif</w:t>
      </w:r>
      <w:r w:rsidRPr="00FE1240">
        <w:rPr>
          <w:rFonts w:ascii="Book Antiqua" w:hAnsi="Book Antiqua" w:cs="Calibri"/>
          <w:noProof/>
          <w:szCs w:val="24"/>
        </w:rPr>
        <w:t xml:space="preserve"> (2nd ed.). ALFABETA.</w:t>
      </w:r>
    </w:p>
    <w:p w:rsidR="00FE1240" w:rsidRPr="00FE1240" w:rsidRDefault="00FE1240" w:rsidP="00FE1240">
      <w:pPr>
        <w:widowControl w:val="0"/>
        <w:autoSpaceDE w:val="0"/>
        <w:autoSpaceDN w:val="0"/>
        <w:adjustRightInd w:val="0"/>
        <w:spacing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Sulianta, F. (2020). </w:t>
      </w:r>
      <w:r w:rsidRPr="00FE1240">
        <w:rPr>
          <w:rFonts w:ascii="Book Antiqua" w:hAnsi="Book Antiqua" w:cs="Calibri"/>
          <w:i/>
          <w:iCs/>
          <w:noProof/>
          <w:szCs w:val="24"/>
        </w:rPr>
        <w:t>Literasi Digital, Riset dan Perkembangannya dalam Perspektif Social Studies.</w:t>
      </w:r>
      <w:r w:rsidRPr="00FE1240">
        <w:rPr>
          <w:rFonts w:ascii="Book Antiqua" w:hAnsi="Book Antiqua" w:cs="Calibri"/>
          <w:noProof/>
          <w:szCs w:val="24"/>
        </w:rPr>
        <w:t xml:space="preserve"> (Issue June).</w:t>
      </w:r>
    </w:p>
    <w:p w:rsidR="00FE1240" w:rsidRPr="00FE1240" w:rsidRDefault="00FE1240" w:rsidP="00FE1240">
      <w:pPr>
        <w:widowControl w:val="0"/>
        <w:autoSpaceDE w:val="0"/>
        <w:autoSpaceDN w:val="0"/>
        <w:adjustRightInd w:val="0"/>
        <w:spacing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Wicahyani, S., K. S, S., Kartiko, D., &amp; Williyanto, S. (2021). Digital Literacy of Doctoral Program Student in Sports Education, Semarang State University. </w:t>
      </w:r>
      <w:r w:rsidRPr="00FE1240">
        <w:rPr>
          <w:rFonts w:ascii="Book Antiqua" w:hAnsi="Book Antiqua" w:cs="Calibri"/>
          <w:i/>
          <w:iCs/>
          <w:noProof/>
          <w:szCs w:val="24"/>
        </w:rPr>
        <w:t>ISMINA 2021: Proceedings of the 5th International Conference on Sports, Health, and Physical Education</w:t>
      </w:r>
      <w:r w:rsidRPr="00FE1240">
        <w:rPr>
          <w:rFonts w:ascii="Book Antiqua" w:hAnsi="Book Antiqua" w:cs="Calibri"/>
          <w:noProof/>
          <w:szCs w:val="24"/>
        </w:rPr>
        <w:t>.</w:t>
      </w:r>
    </w:p>
    <w:p w:rsidR="00FE1240" w:rsidRPr="00FE1240" w:rsidRDefault="00FE1240" w:rsidP="00FE1240">
      <w:pPr>
        <w:widowControl w:val="0"/>
        <w:autoSpaceDE w:val="0"/>
        <w:autoSpaceDN w:val="0"/>
        <w:adjustRightInd w:val="0"/>
        <w:spacing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Yin, Z., &amp; Vine, E. (2022). Multifunctionality in English. In </w:t>
      </w:r>
      <w:r w:rsidRPr="00FE1240">
        <w:rPr>
          <w:rFonts w:ascii="Book Antiqua" w:hAnsi="Book Antiqua" w:cs="Calibri"/>
          <w:i/>
          <w:iCs/>
          <w:noProof/>
          <w:szCs w:val="24"/>
        </w:rPr>
        <w:lastRenderedPageBreak/>
        <w:t>Multifunctionality in English</w:t>
      </w:r>
      <w:r w:rsidRPr="00FE1240">
        <w:rPr>
          <w:rFonts w:ascii="Book Antiqua" w:hAnsi="Book Antiqua" w:cs="Calibri"/>
          <w:noProof/>
          <w:szCs w:val="24"/>
        </w:rPr>
        <w:t>. Routledge.</w:t>
      </w:r>
    </w:p>
    <w:p w:rsidR="00FE1240" w:rsidRPr="00FE1240" w:rsidRDefault="00FE1240" w:rsidP="00FE1240">
      <w:pPr>
        <w:widowControl w:val="0"/>
        <w:autoSpaceDE w:val="0"/>
        <w:autoSpaceDN w:val="0"/>
        <w:adjustRightInd w:val="0"/>
        <w:spacing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Yojana, Y. (2022). Gambaran Literasi Digital Tenaga Kesehatan Peserta Pelatihan di Bapelkes Cikarang Kementerian Kesehatan RI. </w:t>
      </w:r>
      <w:r w:rsidRPr="00FE1240">
        <w:rPr>
          <w:rFonts w:ascii="Book Antiqua" w:hAnsi="Book Antiqua" w:cs="Calibri"/>
          <w:i/>
          <w:iCs/>
          <w:noProof/>
          <w:szCs w:val="24"/>
        </w:rPr>
        <w:t>Edukatif</w:t>
      </w:r>
      <w:r w:rsidRPr="00FE1240">
        <w:rPr>
          <w:rFonts w:ascii="Times New Roman" w:hAnsi="Times New Roman" w:cs="Times New Roman"/>
          <w:i/>
          <w:iCs/>
          <w:noProof/>
          <w:szCs w:val="24"/>
        </w:rPr>
        <w:t> </w:t>
      </w:r>
      <w:r w:rsidRPr="00FE1240">
        <w:rPr>
          <w:rFonts w:ascii="Book Antiqua" w:hAnsi="Book Antiqua" w:cs="Calibri"/>
          <w:i/>
          <w:iCs/>
          <w:noProof/>
          <w:szCs w:val="24"/>
        </w:rPr>
        <w:t>: Jurnal Ilmu Pendidikan</w:t>
      </w:r>
      <w:r w:rsidRPr="00FE1240">
        <w:rPr>
          <w:rFonts w:ascii="Book Antiqua" w:hAnsi="Book Antiqua" w:cs="Calibri"/>
          <w:noProof/>
          <w:szCs w:val="24"/>
        </w:rPr>
        <w:t xml:space="preserve">, </w:t>
      </w:r>
      <w:r w:rsidRPr="00FE1240">
        <w:rPr>
          <w:rFonts w:ascii="Book Antiqua" w:hAnsi="Book Antiqua" w:cs="Calibri"/>
          <w:i/>
          <w:iCs/>
          <w:noProof/>
          <w:szCs w:val="24"/>
        </w:rPr>
        <w:t>4</w:t>
      </w:r>
      <w:r w:rsidRPr="00FE1240">
        <w:rPr>
          <w:rFonts w:ascii="Book Antiqua" w:hAnsi="Book Antiqua" w:cs="Calibri"/>
          <w:noProof/>
          <w:szCs w:val="24"/>
        </w:rPr>
        <w:t>(2), 2127–2133.</w:t>
      </w:r>
    </w:p>
    <w:p w:rsidR="00FE1240" w:rsidRPr="00FE1240" w:rsidRDefault="00FE1240" w:rsidP="00FE1240">
      <w:pPr>
        <w:widowControl w:val="0"/>
        <w:autoSpaceDE w:val="0"/>
        <w:autoSpaceDN w:val="0"/>
        <w:adjustRightInd w:val="0"/>
        <w:spacing w:line="240" w:lineRule="auto"/>
        <w:ind w:left="480" w:hanging="480"/>
        <w:jc w:val="both"/>
        <w:rPr>
          <w:rFonts w:ascii="Book Antiqua" w:hAnsi="Book Antiqua" w:cs="Calibri"/>
          <w:noProof/>
          <w:szCs w:val="24"/>
        </w:rPr>
      </w:pPr>
      <w:r w:rsidRPr="00FE1240">
        <w:rPr>
          <w:rFonts w:ascii="Book Antiqua" w:hAnsi="Book Antiqua" w:cs="Calibri"/>
          <w:noProof/>
          <w:szCs w:val="24"/>
        </w:rPr>
        <w:t xml:space="preserve">Zielke, N. (2017). Dynamic Elementary Education: Teaching Digital and Media Literacy. In </w:t>
      </w:r>
      <w:r w:rsidRPr="00FE1240">
        <w:rPr>
          <w:rFonts w:ascii="Book Antiqua" w:hAnsi="Book Antiqua" w:cs="Calibri"/>
          <w:i/>
          <w:iCs/>
          <w:noProof/>
          <w:szCs w:val="24"/>
        </w:rPr>
        <w:t>TSpace: University of Toronto</w:t>
      </w:r>
      <w:r w:rsidRPr="00FE1240">
        <w:rPr>
          <w:rFonts w:ascii="Book Antiqua" w:hAnsi="Book Antiqua" w:cs="Calibri"/>
          <w:noProof/>
          <w:szCs w:val="24"/>
        </w:rPr>
        <w:t>.</w:t>
      </w:r>
    </w:p>
    <w:p w:rsidR="00FE1240" w:rsidRDefault="00BB2855" w:rsidP="00FE1240">
      <w:r>
        <w:fldChar w:fldCharType="end"/>
      </w:r>
    </w:p>
    <w:p w:rsidR="005149D8" w:rsidRPr="00C77EFD" w:rsidRDefault="005149D8" w:rsidP="00E65F64">
      <w:pPr>
        <w:spacing w:after="0" w:line="240" w:lineRule="auto"/>
        <w:jc w:val="both"/>
        <w:rPr>
          <w:rFonts w:ascii="Book Antiqua" w:hAnsi="Book Antiqua"/>
        </w:rPr>
      </w:pPr>
    </w:p>
    <w:sectPr w:rsidR="005149D8" w:rsidRPr="00C77EFD" w:rsidSect="00D064A9">
      <w:headerReference w:type="default" r:id="rId18"/>
      <w:type w:val="continuous"/>
      <w:pgSz w:w="11906" w:h="16838" w:code="9"/>
      <w:pgMar w:top="1440" w:right="1440" w:bottom="1440" w:left="1440"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BF7" w:rsidRDefault="006E7BF7" w:rsidP="000F4FE7">
      <w:pPr>
        <w:spacing w:after="0" w:line="240" w:lineRule="auto"/>
      </w:pPr>
      <w:r>
        <w:separator/>
      </w:r>
    </w:p>
  </w:endnote>
  <w:endnote w:type="continuationSeparator" w:id="1">
    <w:p w:rsidR="006E7BF7" w:rsidRDefault="006E7BF7" w:rsidP="000F4F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845476"/>
      <w:docPartObj>
        <w:docPartGallery w:val="Page Numbers (Bottom of Page)"/>
        <w:docPartUnique/>
      </w:docPartObj>
    </w:sdtPr>
    <w:sdtEndPr>
      <w:rPr>
        <w:noProof/>
      </w:rPr>
    </w:sdtEndPr>
    <w:sdtContent>
      <w:p w:rsidR="00F328C2" w:rsidRDefault="00BB2855">
        <w:pPr>
          <w:pStyle w:val="Footer"/>
          <w:jc w:val="center"/>
        </w:pPr>
        <w:r>
          <w:fldChar w:fldCharType="begin"/>
        </w:r>
        <w:r w:rsidR="00F328C2">
          <w:instrText xml:space="preserve"> PAGE   \* MERGEFORMAT </w:instrText>
        </w:r>
        <w:r>
          <w:fldChar w:fldCharType="separate"/>
        </w:r>
        <w:r w:rsidR="00CF1F2F">
          <w:rPr>
            <w:noProof/>
          </w:rPr>
          <w:t>8</w:t>
        </w:r>
        <w:r>
          <w:rPr>
            <w:noProof/>
          </w:rPr>
          <w:fldChar w:fldCharType="end"/>
        </w:r>
      </w:p>
    </w:sdtContent>
  </w:sdt>
  <w:p w:rsidR="00F328C2" w:rsidRDefault="00F32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680801"/>
      <w:docPartObj>
        <w:docPartGallery w:val="Page Numbers (Bottom of Page)"/>
        <w:docPartUnique/>
      </w:docPartObj>
    </w:sdtPr>
    <w:sdtEndPr>
      <w:rPr>
        <w:noProof/>
      </w:rPr>
    </w:sdtEndPr>
    <w:sdtContent>
      <w:p w:rsidR="000F4FE7" w:rsidRDefault="00BB2855">
        <w:pPr>
          <w:pStyle w:val="Footer"/>
          <w:jc w:val="center"/>
        </w:pPr>
        <w:r>
          <w:fldChar w:fldCharType="begin"/>
        </w:r>
        <w:r w:rsidR="000F4FE7">
          <w:instrText xml:space="preserve"> PAGE   \* MERGEFORMAT </w:instrText>
        </w:r>
        <w:r>
          <w:fldChar w:fldCharType="separate"/>
        </w:r>
        <w:r w:rsidR="00CF1F2F">
          <w:rPr>
            <w:noProof/>
          </w:rPr>
          <w:t>9</w:t>
        </w:r>
        <w:r>
          <w:rPr>
            <w:noProof/>
          </w:rPr>
          <w:fldChar w:fldCharType="end"/>
        </w:r>
      </w:p>
    </w:sdtContent>
  </w:sdt>
  <w:p w:rsidR="000F4FE7" w:rsidRDefault="000F4F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63040"/>
      <w:docPartObj>
        <w:docPartGallery w:val="Page Numbers (Bottom of Page)"/>
        <w:docPartUnique/>
      </w:docPartObj>
    </w:sdtPr>
    <w:sdtEndPr>
      <w:rPr>
        <w:noProof/>
      </w:rPr>
    </w:sdtEndPr>
    <w:sdtContent>
      <w:p w:rsidR="00F328C2" w:rsidRDefault="00BB2855">
        <w:pPr>
          <w:pStyle w:val="Footer"/>
          <w:jc w:val="center"/>
        </w:pPr>
        <w:r>
          <w:fldChar w:fldCharType="begin"/>
        </w:r>
        <w:r w:rsidR="00F328C2">
          <w:instrText xml:space="preserve"> PAGE   \* MERGEFORMAT </w:instrText>
        </w:r>
        <w:r>
          <w:fldChar w:fldCharType="separate"/>
        </w:r>
        <w:r w:rsidR="00CF1F2F">
          <w:rPr>
            <w:noProof/>
          </w:rPr>
          <w:t>1</w:t>
        </w:r>
        <w:r>
          <w:rPr>
            <w:noProof/>
          </w:rPr>
          <w:fldChar w:fldCharType="end"/>
        </w:r>
      </w:p>
    </w:sdtContent>
  </w:sdt>
  <w:p w:rsidR="00F328C2" w:rsidRDefault="00F32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BF7" w:rsidRDefault="006E7BF7" w:rsidP="000F4FE7">
      <w:pPr>
        <w:spacing w:after="0" w:line="240" w:lineRule="auto"/>
      </w:pPr>
      <w:r>
        <w:separator/>
      </w:r>
    </w:p>
  </w:footnote>
  <w:footnote w:type="continuationSeparator" w:id="1">
    <w:p w:rsidR="006E7BF7" w:rsidRDefault="006E7BF7" w:rsidP="000F4F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03" w:rsidRPr="00CE7903" w:rsidRDefault="00CE7903" w:rsidP="00CE7903">
    <w:pPr>
      <w:pStyle w:val="Header"/>
      <w:jc w:val="center"/>
      <w:rPr>
        <w:rFonts w:ascii="Cambria" w:hAnsi="Cambria"/>
        <w:i/>
        <w:iCs/>
        <w:color w:val="000000"/>
        <w:sz w:val="20"/>
        <w:szCs w:val="20"/>
      </w:rPr>
    </w:pPr>
    <w:r w:rsidRPr="00CE7903">
      <w:rPr>
        <w:rFonts w:ascii="Cambria" w:hAnsi="Cambria"/>
        <w:i/>
        <w:iCs/>
        <w:color w:val="000000"/>
        <w:sz w:val="20"/>
        <w:szCs w:val="20"/>
        <w:lang w:val="en-US"/>
      </w:rPr>
      <w:t>Syafa Zanuba Anjani</w:t>
    </w:r>
    <w:r w:rsidRPr="00CE7903">
      <w:rPr>
        <w:rFonts w:ascii="Cambria" w:hAnsi="Cambria"/>
        <w:i/>
        <w:iCs/>
        <w:color w:val="000000"/>
        <w:sz w:val="20"/>
        <w:szCs w:val="20"/>
      </w:rPr>
      <w:t xml:space="preserve">, </w:t>
    </w:r>
    <w:r w:rsidRPr="00CE7903">
      <w:rPr>
        <w:rFonts w:ascii="Cambria" w:hAnsi="Cambria"/>
        <w:i/>
        <w:iCs/>
        <w:color w:val="000000"/>
        <w:sz w:val="20"/>
        <w:szCs w:val="20"/>
        <w:lang w:val="en-US"/>
      </w:rPr>
      <w:t>Sri Harini Ekowati</w:t>
    </w:r>
    <w:r w:rsidRPr="00CE7903">
      <w:rPr>
        <w:rFonts w:ascii="Cambria" w:hAnsi="Cambria"/>
        <w:i/>
        <w:iCs/>
        <w:color w:val="000000"/>
        <w:sz w:val="20"/>
        <w:szCs w:val="20"/>
      </w:rPr>
      <w:t>&amp;</w:t>
    </w:r>
    <w:r w:rsidRPr="00CE7903">
      <w:rPr>
        <w:rFonts w:ascii="Cambria" w:hAnsi="Cambria"/>
        <w:i/>
        <w:iCs/>
        <w:color w:val="000000"/>
        <w:sz w:val="20"/>
        <w:szCs w:val="20"/>
        <w:lang w:val="en-US"/>
      </w:rPr>
      <w:t>Wahyu Tri Widyastuti</w:t>
    </w:r>
    <w:r>
      <w:rPr>
        <w:rFonts w:ascii="Cambria" w:hAnsi="Cambria"/>
        <w:i/>
        <w:iCs/>
        <w:color w:val="000000"/>
        <w:sz w:val="20"/>
        <w:szCs w:val="20"/>
        <w:lang w:val="en-US"/>
      </w:rPr>
      <w:t xml:space="preserve">, </w:t>
    </w:r>
    <w:r w:rsidRPr="00CE7903">
      <w:rPr>
        <w:rFonts w:ascii="Cambria" w:hAnsi="Cambria"/>
        <w:i/>
        <w:iCs/>
        <w:color w:val="000000"/>
        <w:sz w:val="20"/>
        <w:szCs w:val="20"/>
        <w:lang w:val="en-US"/>
      </w:rPr>
      <w:t>Literasi Digital Mahasiswa Tingkat Akhir Program Studi Pendidikan Bahasa Prancis Universitas Negeri Jakarta</w:t>
    </w:r>
  </w:p>
  <w:p w:rsidR="00CE7903" w:rsidRDefault="00CE79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0E0" w:rsidRPr="00CE7903" w:rsidRDefault="005160E0" w:rsidP="00CE7903">
    <w:pPr>
      <w:pStyle w:val="Header"/>
      <w:jc w:val="center"/>
      <w:rPr>
        <w:rFonts w:ascii="Cambria" w:hAnsi="Cambria"/>
        <w:i/>
        <w:iCs/>
        <w:color w:val="000000"/>
        <w:sz w:val="20"/>
        <w:szCs w:val="20"/>
      </w:rPr>
    </w:pPr>
    <w:r w:rsidRPr="00CE7903">
      <w:rPr>
        <w:rFonts w:ascii="Cambria" w:hAnsi="Cambria"/>
        <w:i/>
        <w:iCs/>
        <w:color w:val="000000"/>
        <w:sz w:val="20"/>
        <w:szCs w:val="20"/>
        <w:lang w:val="en-US"/>
      </w:rPr>
      <w:t>Syafa Zanuba Anjani</w:t>
    </w:r>
    <w:r w:rsidRPr="00CE7903">
      <w:rPr>
        <w:rFonts w:ascii="Cambria" w:hAnsi="Cambria"/>
        <w:i/>
        <w:iCs/>
        <w:color w:val="000000"/>
        <w:sz w:val="20"/>
        <w:szCs w:val="20"/>
      </w:rPr>
      <w:t xml:space="preserve">, </w:t>
    </w:r>
    <w:r w:rsidRPr="00CE7903">
      <w:rPr>
        <w:rFonts w:ascii="Cambria" w:hAnsi="Cambria"/>
        <w:i/>
        <w:iCs/>
        <w:color w:val="000000"/>
        <w:sz w:val="20"/>
        <w:szCs w:val="20"/>
        <w:lang w:val="en-US"/>
      </w:rPr>
      <w:t>Sri Harini Ekowati</w:t>
    </w:r>
    <w:r w:rsidRPr="00CE7903">
      <w:rPr>
        <w:rFonts w:ascii="Cambria" w:hAnsi="Cambria"/>
        <w:i/>
        <w:iCs/>
        <w:color w:val="000000"/>
        <w:sz w:val="20"/>
        <w:szCs w:val="20"/>
      </w:rPr>
      <w:t>&amp;</w:t>
    </w:r>
    <w:r w:rsidRPr="00CE7903">
      <w:rPr>
        <w:rFonts w:ascii="Cambria" w:hAnsi="Cambria"/>
        <w:i/>
        <w:iCs/>
        <w:color w:val="000000"/>
        <w:sz w:val="20"/>
        <w:szCs w:val="20"/>
        <w:lang w:val="en-US"/>
      </w:rPr>
      <w:t>W</w:t>
    </w:r>
    <w:r w:rsidR="00CE7903" w:rsidRPr="00CE7903">
      <w:rPr>
        <w:rFonts w:ascii="Cambria" w:hAnsi="Cambria"/>
        <w:i/>
        <w:iCs/>
        <w:color w:val="000000"/>
        <w:sz w:val="20"/>
        <w:szCs w:val="20"/>
        <w:lang w:val="en-US"/>
      </w:rPr>
      <w:t>a</w:t>
    </w:r>
    <w:r w:rsidRPr="00CE7903">
      <w:rPr>
        <w:rFonts w:ascii="Cambria" w:hAnsi="Cambria"/>
        <w:i/>
        <w:iCs/>
        <w:color w:val="000000"/>
        <w:sz w:val="20"/>
        <w:szCs w:val="20"/>
        <w:lang w:val="en-US"/>
      </w:rPr>
      <w:t>hyu Tri Widyastuti</w:t>
    </w:r>
    <w:r w:rsidR="00CE7903">
      <w:rPr>
        <w:rFonts w:ascii="Cambria" w:hAnsi="Cambria"/>
        <w:i/>
        <w:iCs/>
        <w:color w:val="000000"/>
        <w:sz w:val="20"/>
        <w:szCs w:val="20"/>
        <w:lang w:val="en-US"/>
      </w:rPr>
      <w:t xml:space="preserve">, </w:t>
    </w:r>
    <w:r w:rsidR="00CE7903" w:rsidRPr="00CE7903">
      <w:rPr>
        <w:rFonts w:ascii="Cambria" w:hAnsi="Cambria"/>
        <w:i/>
        <w:iCs/>
        <w:color w:val="000000"/>
        <w:sz w:val="20"/>
        <w:szCs w:val="20"/>
        <w:lang w:val="en-US"/>
      </w:rPr>
      <w:t>Literasi Digital Mahasiswa Tingkat Akhir Program Studi Pendidikan Bahasa Prancis Universitas Negeri Jakarta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8C2" w:rsidRPr="00F328C2" w:rsidRDefault="00F328C2" w:rsidP="00F328C2">
    <w:pPr>
      <w:pStyle w:val="NormalWeb"/>
      <w:spacing w:before="0" w:beforeAutospacing="0" w:after="0" w:afterAutospacing="0"/>
      <w:ind w:left="-57" w:right="-57"/>
      <w:jc w:val="center"/>
      <w:rPr>
        <w:sz w:val="28"/>
        <w:szCs w:val="28"/>
      </w:rPr>
    </w:pPr>
    <w:r w:rsidRPr="00F328C2">
      <w:rPr>
        <w:rFonts w:ascii="Cambria" w:hAnsi="Cambria"/>
        <w:color w:val="111111"/>
        <w:sz w:val="20"/>
        <w:szCs w:val="20"/>
      </w:rPr>
      <w:t>HEXAGONE: Jurnal Pendidikan, Linguistik, Budaya dan Sastra Perancis, x(x) (xxxx): x-xx</w:t>
    </w:r>
  </w:p>
  <w:p w:rsidR="00616F3E" w:rsidRPr="00F328C2" w:rsidRDefault="00616F3E" w:rsidP="005F1446">
    <w:pPr>
      <w:rPr>
        <w:rFonts w:ascii="Cambria" w:eastAsia="Cambria" w:hAnsi="Cambria" w:cs="Cambria"/>
        <w:i/>
        <w:iCs/>
        <w:color w:val="11111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7256C"/>
    <w:multiLevelType w:val="multilevel"/>
    <w:tmpl w:val="B1FA671E"/>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evenAndOddHeaders/>
  <w:characterSpacingControl w:val="doNotCompress"/>
  <w:hdrShapeDefaults>
    <o:shapedefaults v:ext="edit" spidmax="4098"/>
  </w:hdrShapeDefaults>
  <w:footnotePr>
    <w:footnote w:id="0"/>
    <w:footnote w:id="1"/>
  </w:footnotePr>
  <w:endnotePr>
    <w:endnote w:id="0"/>
    <w:endnote w:id="1"/>
  </w:endnotePr>
  <w:compat/>
  <w:rsids>
    <w:rsidRoot w:val="00812C49"/>
    <w:rsid w:val="00071271"/>
    <w:rsid w:val="000F1236"/>
    <w:rsid w:val="000F4FE7"/>
    <w:rsid w:val="00151F6E"/>
    <w:rsid w:val="0015368D"/>
    <w:rsid w:val="001A48C6"/>
    <w:rsid w:val="001E319A"/>
    <w:rsid w:val="00213882"/>
    <w:rsid w:val="00274A1B"/>
    <w:rsid w:val="00281ED2"/>
    <w:rsid w:val="00295820"/>
    <w:rsid w:val="002A4A9B"/>
    <w:rsid w:val="002E5C53"/>
    <w:rsid w:val="00300AC5"/>
    <w:rsid w:val="00307909"/>
    <w:rsid w:val="00342488"/>
    <w:rsid w:val="00352E74"/>
    <w:rsid w:val="00366D29"/>
    <w:rsid w:val="00373FAB"/>
    <w:rsid w:val="00374B5C"/>
    <w:rsid w:val="004B2C47"/>
    <w:rsid w:val="004C77D2"/>
    <w:rsid w:val="004F7190"/>
    <w:rsid w:val="005149D8"/>
    <w:rsid w:val="005160E0"/>
    <w:rsid w:val="0052292E"/>
    <w:rsid w:val="00565507"/>
    <w:rsid w:val="00585AF1"/>
    <w:rsid w:val="005A1018"/>
    <w:rsid w:val="005B36F3"/>
    <w:rsid w:val="005F1446"/>
    <w:rsid w:val="005F6D0A"/>
    <w:rsid w:val="00616F3E"/>
    <w:rsid w:val="006567CD"/>
    <w:rsid w:val="00670EBB"/>
    <w:rsid w:val="00672090"/>
    <w:rsid w:val="006A4981"/>
    <w:rsid w:val="006E7BF7"/>
    <w:rsid w:val="00776941"/>
    <w:rsid w:val="007F1A60"/>
    <w:rsid w:val="00812C49"/>
    <w:rsid w:val="00845F10"/>
    <w:rsid w:val="008736D7"/>
    <w:rsid w:val="00895114"/>
    <w:rsid w:val="008D63CE"/>
    <w:rsid w:val="008D6667"/>
    <w:rsid w:val="008E0457"/>
    <w:rsid w:val="00900A47"/>
    <w:rsid w:val="0090495A"/>
    <w:rsid w:val="009073C5"/>
    <w:rsid w:val="009112BC"/>
    <w:rsid w:val="009348EE"/>
    <w:rsid w:val="009433F3"/>
    <w:rsid w:val="009725D2"/>
    <w:rsid w:val="009B0806"/>
    <w:rsid w:val="009C1138"/>
    <w:rsid w:val="00A10285"/>
    <w:rsid w:val="00A109A3"/>
    <w:rsid w:val="00A561F0"/>
    <w:rsid w:val="00A6676F"/>
    <w:rsid w:val="00B24459"/>
    <w:rsid w:val="00B42747"/>
    <w:rsid w:val="00B50973"/>
    <w:rsid w:val="00B75C21"/>
    <w:rsid w:val="00B91B85"/>
    <w:rsid w:val="00BA25E8"/>
    <w:rsid w:val="00BA4B5D"/>
    <w:rsid w:val="00BB2855"/>
    <w:rsid w:val="00BB34C5"/>
    <w:rsid w:val="00BF6D9A"/>
    <w:rsid w:val="00C03B52"/>
    <w:rsid w:val="00C4111E"/>
    <w:rsid w:val="00C73166"/>
    <w:rsid w:val="00C77EFD"/>
    <w:rsid w:val="00C86D25"/>
    <w:rsid w:val="00CE7903"/>
    <w:rsid w:val="00CF1F2F"/>
    <w:rsid w:val="00D064A9"/>
    <w:rsid w:val="00D26430"/>
    <w:rsid w:val="00D92357"/>
    <w:rsid w:val="00DD21E3"/>
    <w:rsid w:val="00DF1F1A"/>
    <w:rsid w:val="00E561C0"/>
    <w:rsid w:val="00E65F64"/>
    <w:rsid w:val="00E67397"/>
    <w:rsid w:val="00E7608D"/>
    <w:rsid w:val="00EB2728"/>
    <w:rsid w:val="00EC5F19"/>
    <w:rsid w:val="00EC7651"/>
    <w:rsid w:val="00F328C2"/>
    <w:rsid w:val="00F76BC1"/>
    <w:rsid w:val="00FC6A8E"/>
    <w:rsid w:val="00FE12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F3E"/>
    <w:rPr>
      <w:lang w:val="id-ID"/>
    </w:rPr>
  </w:style>
  <w:style w:type="paragraph" w:styleId="Heading1">
    <w:name w:val="heading 1"/>
    <w:basedOn w:val="Normal"/>
    <w:next w:val="Normal"/>
    <w:link w:val="Heading1Char"/>
    <w:uiPriority w:val="9"/>
    <w:qFormat/>
    <w:rsid w:val="00B42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23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47"/>
    <w:rPr>
      <w:rFonts w:asciiTheme="majorHAnsi" w:eastAsiaTheme="majorEastAsia" w:hAnsiTheme="majorHAnsi" w:cstheme="majorBidi"/>
      <w:color w:val="2F5496" w:themeColor="accent1" w:themeShade="BF"/>
      <w:sz w:val="32"/>
      <w:szCs w:val="32"/>
      <w:lang w:val="id-ID"/>
    </w:rPr>
  </w:style>
  <w:style w:type="paragraph" w:styleId="NoSpacing">
    <w:name w:val="No Spacing"/>
    <w:uiPriority w:val="1"/>
    <w:qFormat/>
    <w:rsid w:val="00B42747"/>
    <w:pPr>
      <w:spacing w:after="0" w:line="240" w:lineRule="auto"/>
    </w:pPr>
    <w:rPr>
      <w:lang w:val="id-ID"/>
    </w:rPr>
  </w:style>
  <w:style w:type="paragraph" w:customStyle="1" w:styleId="Default">
    <w:name w:val="Default"/>
    <w:rsid w:val="00E7608D"/>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B24459"/>
    <w:pPr>
      <w:spacing w:after="200" w:line="240" w:lineRule="auto"/>
    </w:pPr>
    <w:rPr>
      <w:i/>
      <w:iCs/>
      <w:color w:val="44546A" w:themeColor="text2"/>
      <w:sz w:val="18"/>
      <w:szCs w:val="18"/>
    </w:rPr>
  </w:style>
  <w:style w:type="paragraph" w:styleId="ListParagraph">
    <w:name w:val="List Paragraph"/>
    <w:basedOn w:val="Normal"/>
    <w:uiPriority w:val="34"/>
    <w:qFormat/>
    <w:rsid w:val="00B24459"/>
    <w:pPr>
      <w:ind w:left="720"/>
      <w:contextualSpacing/>
    </w:pPr>
  </w:style>
  <w:style w:type="character" w:customStyle="1" w:styleId="Heading2Char">
    <w:name w:val="Heading 2 Char"/>
    <w:basedOn w:val="DefaultParagraphFont"/>
    <w:link w:val="Heading2"/>
    <w:uiPriority w:val="9"/>
    <w:rsid w:val="00D92357"/>
    <w:rPr>
      <w:rFonts w:asciiTheme="majorHAnsi" w:eastAsiaTheme="majorEastAsia" w:hAnsiTheme="majorHAnsi" w:cstheme="majorBidi"/>
      <w:color w:val="2F5496" w:themeColor="accent1" w:themeShade="BF"/>
      <w:sz w:val="26"/>
      <w:szCs w:val="26"/>
      <w:lang w:val="id-ID"/>
    </w:rPr>
  </w:style>
  <w:style w:type="paragraph" w:styleId="Header">
    <w:name w:val="header"/>
    <w:basedOn w:val="Normal"/>
    <w:link w:val="HeaderChar"/>
    <w:uiPriority w:val="99"/>
    <w:unhideWhenUsed/>
    <w:rsid w:val="000F4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FE7"/>
    <w:rPr>
      <w:lang w:val="id-ID"/>
    </w:rPr>
  </w:style>
  <w:style w:type="paragraph" w:styleId="Footer">
    <w:name w:val="footer"/>
    <w:basedOn w:val="Normal"/>
    <w:link w:val="FooterChar"/>
    <w:uiPriority w:val="99"/>
    <w:unhideWhenUsed/>
    <w:rsid w:val="000F4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FE7"/>
    <w:rPr>
      <w:lang w:val="id-ID"/>
    </w:rPr>
  </w:style>
  <w:style w:type="paragraph" w:styleId="NormalWeb">
    <w:name w:val="Normal (Web)"/>
    <w:basedOn w:val="Normal"/>
    <w:uiPriority w:val="99"/>
    <w:unhideWhenUsed/>
    <w:rsid w:val="00CE790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alloonText">
    <w:name w:val="Balloon Text"/>
    <w:basedOn w:val="Normal"/>
    <w:link w:val="BalloonTextChar"/>
    <w:uiPriority w:val="99"/>
    <w:semiHidden/>
    <w:unhideWhenUsed/>
    <w:rsid w:val="008D6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667"/>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1222059207">
      <w:bodyDiv w:val="1"/>
      <w:marLeft w:val="0"/>
      <w:marRight w:val="0"/>
      <w:marTop w:val="0"/>
      <w:marBottom w:val="0"/>
      <w:divBdr>
        <w:top w:val="none" w:sz="0" w:space="0" w:color="auto"/>
        <w:left w:val="none" w:sz="0" w:space="0" w:color="auto"/>
        <w:bottom w:val="none" w:sz="0" w:space="0" w:color="auto"/>
        <w:right w:val="none" w:sz="0" w:space="0" w:color="auto"/>
      </w:divBdr>
    </w:div>
    <w:div w:id="1526747752">
      <w:bodyDiv w:val="1"/>
      <w:marLeft w:val="0"/>
      <w:marRight w:val="0"/>
      <w:marTop w:val="0"/>
      <w:marBottom w:val="0"/>
      <w:divBdr>
        <w:top w:val="none" w:sz="0" w:space="0" w:color="auto"/>
        <w:left w:val="none" w:sz="0" w:space="0" w:color="auto"/>
        <w:bottom w:val="none" w:sz="0" w:space="0" w:color="auto"/>
        <w:right w:val="none" w:sz="0" w:space="0" w:color="auto"/>
      </w:divBdr>
    </w:div>
    <w:div w:id="1725565592">
      <w:bodyDiv w:val="1"/>
      <w:marLeft w:val="0"/>
      <w:marRight w:val="0"/>
      <w:marTop w:val="0"/>
      <w:marBottom w:val="0"/>
      <w:divBdr>
        <w:top w:val="none" w:sz="0" w:space="0" w:color="auto"/>
        <w:left w:val="none" w:sz="0" w:space="0" w:color="auto"/>
        <w:bottom w:val="none" w:sz="0" w:space="0" w:color="auto"/>
        <w:right w:val="none" w:sz="0" w:space="0" w:color="auto"/>
      </w:divBdr>
    </w:div>
    <w:div w:id="1884437451">
      <w:bodyDiv w:val="1"/>
      <w:marLeft w:val="0"/>
      <w:marRight w:val="0"/>
      <w:marTop w:val="0"/>
      <w:marBottom w:val="0"/>
      <w:divBdr>
        <w:top w:val="none" w:sz="0" w:space="0" w:color="auto"/>
        <w:left w:val="none" w:sz="0" w:space="0" w:color="auto"/>
        <w:bottom w:val="none" w:sz="0" w:space="0" w:color="auto"/>
        <w:right w:val="none" w:sz="0" w:space="0" w:color="auto"/>
      </w:divBdr>
    </w:div>
    <w:div w:id="19572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3EAC-8649-4512-A9BA-54BB68C3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4153</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Syafa Zanuba</dc:creator>
  <cp:lastModifiedBy>Windows User</cp:lastModifiedBy>
  <cp:revision>8</cp:revision>
  <dcterms:created xsi:type="dcterms:W3CDTF">2022-12-30T06:57:00Z</dcterms:created>
  <dcterms:modified xsi:type="dcterms:W3CDTF">2022-12-30T07:44:00Z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62da1ec4-55f9-3103-be61-387244674088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